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北京大学第六医院</w:t>
      </w:r>
      <w:r>
        <w:rPr>
          <w:rFonts w:hint="eastAsia"/>
          <w:b/>
          <w:sz w:val="36"/>
          <w:szCs w:val="36"/>
        </w:rPr>
        <w:t>关于做好20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年预算调整申报的通知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rFonts w:hint="eastAsia"/>
          <w:sz w:val="28"/>
        </w:rPr>
        <w:t>各科室：</w:t>
      </w:r>
    </w:p>
    <w:p>
      <w:pPr>
        <w:jc w:val="left"/>
        <w:rPr>
          <w:sz w:val="28"/>
        </w:rPr>
      </w:pPr>
      <w:r>
        <w:rPr>
          <w:rFonts w:hint="eastAsia"/>
          <w:sz w:val="28"/>
        </w:rPr>
        <w:t xml:space="preserve">    按照国家卫健委对于医院全面预算管理的要求，</w:t>
      </w:r>
      <w:r>
        <w:rPr>
          <w:rFonts w:hint="eastAsia"/>
          <w:sz w:val="28"/>
          <w:lang w:eastAsia="zh-CN"/>
        </w:rPr>
        <w:t>为加强预算管理，进一步提高资金使用效益，</w:t>
      </w:r>
      <w:r>
        <w:rPr>
          <w:rFonts w:hint="eastAsia"/>
          <w:sz w:val="28"/>
        </w:rPr>
        <w:t>做好202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年预算调整工作，根据《北京大学第六医院预算管理制度》</w:t>
      </w:r>
      <w:r>
        <w:rPr>
          <w:rFonts w:hint="eastAsia"/>
          <w:sz w:val="28"/>
          <w:lang w:eastAsia="zh-CN"/>
        </w:rPr>
        <w:t>相关规定，</w:t>
      </w:r>
      <w:r>
        <w:rPr>
          <w:rFonts w:hint="eastAsia"/>
          <w:sz w:val="28"/>
        </w:rPr>
        <w:t>现</w:t>
      </w:r>
      <w:r>
        <w:rPr>
          <w:rFonts w:hint="eastAsia"/>
          <w:sz w:val="28"/>
          <w:lang w:eastAsia="zh-CN"/>
        </w:rPr>
        <w:t>就</w:t>
      </w:r>
      <w:r>
        <w:rPr>
          <w:rFonts w:hint="eastAsia"/>
          <w:sz w:val="28"/>
          <w:lang w:val="en-US" w:eastAsia="zh-CN"/>
        </w:rPr>
        <w:t>2021年医院预算调整工作有关事项</w:t>
      </w:r>
      <w:r>
        <w:rPr>
          <w:rFonts w:hint="eastAsia"/>
          <w:sz w:val="28"/>
        </w:rPr>
        <w:t>通知如下：</w:t>
      </w:r>
    </w:p>
    <w:p>
      <w:pPr>
        <w:pStyle w:val="7"/>
        <w:numPr>
          <w:ilvl w:val="0"/>
          <w:numId w:val="1"/>
        </w:numPr>
        <w:ind w:firstLineChars="0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预算调整</w:t>
      </w:r>
      <w:r>
        <w:rPr>
          <w:rFonts w:hint="eastAsia"/>
          <w:b/>
          <w:sz w:val="30"/>
          <w:szCs w:val="30"/>
        </w:rPr>
        <w:t>要求</w:t>
      </w:r>
    </w:p>
    <w:p>
      <w:pPr>
        <w:pStyle w:val="7"/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</w:rPr>
      </w:pPr>
      <w:r>
        <w:rPr>
          <w:rFonts w:hint="eastAsia"/>
          <w:sz w:val="28"/>
          <w:lang w:eastAsia="zh-CN"/>
        </w:rPr>
        <w:t>本次预算调整经费范围为非财政项目经费。</w:t>
      </w:r>
      <w:r>
        <w:rPr>
          <w:rFonts w:hint="eastAsia"/>
          <w:sz w:val="28"/>
        </w:rPr>
        <w:t>根据《北京大学第六医院预算管理制度》</w:t>
      </w:r>
      <w:r>
        <w:rPr>
          <w:rFonts w:hint="eastAsia"/>
          <w:sz w:val="28"/>
          <w:lang w:eastAsia="zh-CN"/>
        </w:rPr>
        <w:t>，预算调整由</w:t>
      </w:r>
      <w:r>
        <w:rPr>
          <w:rFonts w:hint="eastAsia"/>
          <w:sz w:val="28"/>
        </w:rPr>
        <w:t>科室预算管理员负责编报预算调整单，由科室负责人审批，归口部门审核，主管院领导审批后（设备及资产采购预算需院领导审批），由计财处汇总，提交预算管理委员会讨论审议，报院长办公会和党委会审批。</w:t>
      </w:r>
    </w:p>
    <w:p>
      <w:pPr>
        <w:pStyle w:val="7"/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highlight w:val="none"/>
        </w:rPr>
      </w:pPr>
      <w:r>
        <w:rPr>
          <w:rFonts w:hint="eastAsia"/>
          <w:sz w:val="28"/>
          <w:lang w:val="en-US" w:eastAsia="zh-CN"/>
        </w:rPr>
        <w:t>1.</w:t>
      </w:r>
      <w:r>
        <w:rPr>
          <w:rFonts w:hint="eastAsia"/>
          <w:sz w:val="28"/>
        </w:rPr>
        <w:t>各科室领导要高度重视，对本科室预算的科学性、真实性、完整性负责。各科室要</w:t>
      </w:r>
      <w:r>
        <w:rPr>
          <w:rFonts w:hint="eastAsia"/>
          <w:b/>
          <w:bCs/>
          <w:sz w:val="28"/>
          <w:u w:val="single"/>
          <w:lang w:eastAsia="zh-CN"/>
        </w:rPr>
        <w:t>综合</w:t>
      </w:r>
      <w:r>
        <w:rPr>
          <w:rFonts w:hint="eastAsia"/>
          <w:b/>
          <w:bCs/>
          <w:sz w:val="28"/>
          <w:u w:val="single"/>
        </w:rPr>
        <w:t>考虑</w:t>
      </w:r>
      <w:r>
        <w:rPr>
          <w:rFonts w:hint="eastAsia"/>
          <w:b/>
          <w:bCs/>
          <w:sz w:val="28"/>
          <w:u w:val="single"/>
          <w:lang w:eastAsia="zh-CN"/>
        </w:rPr>
        <w:t>南北院区运行</w:t>
      </w:r>
      <w:r>
        <w:rPr>
          <w:rFonts w:hint="eastAsia"/>
          <w:b/>
          <w:bCs/>
          <w:sz w:val="28"/>
          <w:u w:val="single"/>
        </w:rPr>
        <w:t>情况</w:t>
      </w:r>
      <w:r>
        <w:rPr>
          <w:rFonts w:hint="eastAsia"/>
          <w:sz w:val="28"/>
        </w:rPr>
        <w:t>，</w:t>
      </w:r>
      <w:r>
        <w:rPr>
          <w:rFonts w:hint="eastAsia" w:ascii="宋体" w:hAnsi="宋体"/>
          <w:sz w:val="28"/>
          <w:szCs w:val="28"/>
          <w:highlight w:val="none"/>
        </w:rPr>
        <w:t>根据</w:t>
      </w:r>
      <w:r>
        <w:rPr>
          <w:rFonts w:hint="eastAsia"/>
          <w:sz w:val="28"/>
          <w:highlight w:val="none"/>
          <w:u w:val="single"/>
        </w:rPr>
        <w:t>202</w:t>
      </w:r>
      <w:r>
        <w:rPr>
          <w:rFonts w:hint="eastAsia"/>
          <w:sz w:val="28"/>
          <w:highlight w:val="none"/>
          <w:u w:val="single"/>
          <w:lang w:val="en-US" w:eastAsia="zh-CN"/>
        </w:rPr>
        <w:t>1</w:t>
      </w:r>
      <w:r>
        <w:rPr>
          <w:rFonts w:hint="eastAsia"/>
          <w:sz w:val="28"/>
          <w:highlight w:val="none"/>
          <w:u w:val="single"/>
        </w:rPr>
        <w:t>年经费收入、支出预算下拨数</w:t>
      </w:r>
      <w:r>
        <w:rPr>
          <w:rFonts w:hint="eastAsia"/>
          <w:sz w:val="28"/>
          <w:highlight w:val="none"/>
          <w:lang w:eastAsia="zh-CN"/>
        </w:rPr>
        <w:t>，全面梳理本科室</w:t>
      </w:r>
      <w:r>
        <w:rPr>
          <w:rFonts w:hint="eastAsia"/>
          <w:sz w:val="28"/>
          <w:highlight w:val="none"/>
          <w:u w:val="single"/>
          <w:lang w:val="en-US" w:eastAsia="zh-CN"/>
        </w:rPr>
        <w:t>2021年</w:t>
      </w:r>
      <w:r>
        <w:rPr>
          <w:rFonts w:hint="eastAsia"/>
          <w:sz w:val="28"/>
          <w:highlight w:val="none"/>
          <w:u w:val="single"/>
        </w:rPr>
        <w:t>1-</w:t>
      </w:r>
      <w:r>
        <w:rPr>
          <w:sz w:val="28"/>
          <w:highlight w:val="none"/>
          <w:u w:val="single"/>
        </w:rPr>
        <w:t>5</w:t>
      </w:r>
      <w:r>
        <w:rPr>
          <w:rFonts w:hint="eastAsia"/>
          <w:sz w:val="28"/>
          <w:highlight w:val="none"/>
          <w:u w:val="single"/>
        </w:rPr>
        <w:t>月</w:t>
      </w:r>
      <w:r>
        <w:rPr>
          <w:rFonts w:hint="eastAsia"/>
          <w:sz w:val="28"/>
          <w:highlight w:val="none"/>
          <w:u w:val="single"/>
          <w:lang w:val="en-US" w:eastAsia="zh-CN"/>
        </w:rPr>
        <w:t>预算项目实施情况和经费支出进度</w:t>
      </w:r>
      <w:r>
        <w:rPr>
          <w:rFonts w:hint="eastAsia"/>
          <w:sz w:val="28"/>
          <w:highlight w:val="none"/>
          <w:lang w:val="en-US" w:eastAsia="zh-CN"/>
        </w:rPr>
        <w:t>，结合本年度工作任务进展情况和工作目标完成情况，对预算执行情况进行分析测算，提出预算调整。</w:t>
      </w:r>
    </w:p>
    <w:p>
      <w:pPr>
        <w:pStyle w:val="7"/>
        <w:numPr>
          <w:ilvl w:val="0"/>
          <w:numId w:val="0"/>
        </w:numPr>
        <w:ind w:firstLine="560"/>
        <w:jc w:val="left"/>
        <w:rPr>
          <w:rFonts w:hint="eastAsia"/>
          <w:sz w:val="28"/>
          <w:highlight w:val="none"/>
          <w:u w:val="none"/>
          <w:lang w:val="en-US" w:eastAsia="zh-CN"/>
        </w:rPr>
      </w:pPr>
      <w:r>
        <w:rPr>
          <w:rFonts w:hint="eastAsia"/>
          <w:sz w:val="28"/>
          <w:highlight w:val="none"/>
          <w:u w:val="none"/>
          <w:lang w:val="en-US" w:eastAsia="zh-CN"/>
        </w:rPr>
        <w:t>因特殊原因，原计划项目不能继续执行或预计到年底有大量经费剩余的，可申请调减原项目预算。</w:t>
      </w:r>
    </w:p>
    <w:p>
      <w:pPr>
        <w:pStyle w:val="7"/>
        <w:numPr>
          <w:ilvl w:val="0"/>
          <w:numId w:val="0"/>
        </w:numPr>
        <w:ind w:firstLine="560"/>
        <w:jc w:val="left"/>
        <w:rPr>
          <w:rFonts w:hint="default"/>
          <w:sz w:val="28"/>
          <w:highlight w:val="none"/>
          <w:u w:val="none"/>
          <w:lang w:val="en-US" w:eastAsia="zh-CN"/>
        </w:rPr>
      </w:pPr>
      <w:r>
        <w:rPr>
          <w:rFonts w:hint="eastAsia"/>
          <w:sz w:val="28"/>
          <w:highlight w:val="none"/>
          <w:u w:val="none"/>
          <w:lang w:val="en-US" w:eastAsia="zh-CN"/>
        </w:rPr>
        <w:t>因年初预算安排不足，或因突发、新增重要事项，须在本年度调增预算的，按照“此增彼减”原则，通过已有预算项目进行调剂解决。仍有资金缺口的，可申请追加预算，医院按照轻重缓急原则统筹从紧安排。</w:t>
      </w:r>
    </w:p>
    <w:p>
      <w:pPr>
        <w:pStyle w:val="7"/>
        <w:numPr>
          <w:ilvl w:val="0"/>
          <w:numId w:val="2"/>
        </w:numPr>
        <w:jc w:val="left"/>
        <w:rPr>
          <w:rFonts w:hint="eastAsia"/>
          <w:sz w:val="28"/>
          <w:highlight w:val="none"/>
          <w:u w:val="none"/>
          <w:lang w:val="en-US" w:eastAsia="zh-CN"/>
        </w:rPr>
      </w:pPr>
      <w:r>
        <w:rPr>
          <w:rFonts w:hint="eastAsia"/>
          <w:sz w:val="28"/>
          <w:highlight w:val="none"/>
          <w:u w:val="none"/>
          <w:lang w:val="en-US" w:eastAsia="zh-CN"/>
        </w:rPr>
        <w:t>各归口职能部门负责对归口管理的预算进行审核。</w:t>
      </w:r>
    </w:p>
    <w:p>
      <w:pPr>
        <w:pStyle w:val="7"/>
        <w:numPr>
          <w:ilvl w:val="0"/>
          <w:numId w:val="2"/>
        </w:numPr>
        <w:jc w:val="left"/>
        <w:rPr>
          <w:rFonts w:hint="default"/>
          <w:sz w:val="28"/>
          <w:highlight w:val="none"/>
          <w:u w:val="none"/>
          <w:lang w:val="en-US" w:eastAsia="zh-CN"/>
        </w:rPr>
      </w:pPr>
      <w:r>
        <w:rPr>
          <w:rFonts w:hint="eastAsia"/>
          <w:sz w:val="28"/>
          <w:highlight w:val="none"/>
          <w:u w:val="none"/>
          <w:lang w:val="en-US" w:eastAsia="zh-CN"/>
        </w:rPr>
        <w:t>计财处对预算调整情况进行汇总，形成预算调整方案初稿，报预算管理委员会审议、院长办公会和党委会审定。</w:t>
      </w:r>
    </w:p>
    <w:p>
      <w:pPr>
        <w:pStyle w:val="7"/>
        <w:numPr>
          <w:ilvl w:val="0"/>
          <w:numId w:val="2"/>
        </w:numPr>
        <w:jc w:val="left"/>
        <w:rPr>
          <w:rFonts w:hint="default"/>
          <w:sz w:val="28"/>
          <w:highlight w:val="none"/>
          <w:u w:val="none"/>
          <w:lang w:val="en-US" w:eastAsia="zh-CN"/>
        </w:rPr>
      </w:pPr>
      <w:r>
        <w:rPr>
          <w:rFonts w:hint="eastAsia"/>
          <w:sz w:val="28"/>
          <w:highlight w:val="none"/>
          <w:u w:val="none"/>
          <w:lang w:val="en-US" w:eastAsia="zh-CN"/>
        </w:rPr>
        <w:t>按照“当年预算当年执行”的原则，此次预算调整后，</w:t>
      </w:r>
      <w:r>
        <w:rPr>
          <w:rFonts w:hint="eastAsia"/>
          <w:sz w:val="28"/>
          <w:highlight w:val="none"/>
          <w:u w:val="single"/>
          <w:lang w:val="en-US" w:eastAsia="zh-CN"/>
        </w:rPr>
        <w:t>所有院内自筹经费</w:t>
      </w:r>
      <w:bookmarkStart w:id="0" w:name="_GoBack"/>
      <w:bookmarkEnd w:id="0"/>
      <w:r>
        <w:rPr>
          <w:rFonts w:hint="eastAsia"/>
          <w:sz w:val="28"/>
          <w:highlight w:val="none"/>
          <w:u w:val="single"/>
          <w:lang w:val="en-US" w:eastAsia="zh-CN"/>
        </w:rPr>
        <w:t>预算均应在12月底前执行完毕，当年预算未执行完毕不结转下年</w:t>
      </w:r>
      <w:r>
        <w:rPr>
          <w:rFonts w:hint="eastAsia"/>
          <w:sz w:val="28"/>
          <w:highlight w:val="none"/>
          <w:u w:val="none"/>
          <w:lang w:val="en-US" w:eastAsia="zh-CN"/>
        </w:rPr>
        <w:t>。</w:t>
      </w:r>
    </w:p>
    <w:p>
      <w:pPr>
        <w:pStyle w:val="7"/>
        <w:numPr>
          <w:ilvl w:val="0"/>
          <w:numId w:val="0"/>
        </w:numPr>
        <w:ind w:leftChars="0"/>
        <w:jc w:val="left"/>
        <w:rPr>
          <w:rFonts w:hint="eastAsia" w:eastAsiaTheme="minor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二、填报</w:t>
      </w:r>
      <w:r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  <w:lang w:eastAsia="zh-CN"/>
        </w:rPr>
        <w:t>及填报方式</w:t>
      </w:r>
    </w:p>
    <w:p>
      <w:pPr>
        <w:ind w:firstLine="281" w:firstLineChars="100"/>
        <w:jc w:val="left"/>
        <w:rPr>
          <w:b/>
          <w:bCs/>
          <w:sz w:val="28"/>
        </w:rPr>
      </w:pPr>
      <w:r>
        <w:rPr>
          <w:b/>
          <w:bCs/>
          <w:sz w:val="28"/>
        </w:rPr>
        <w:t>1</w:t>
      </w:r>
      <w:r>
        <w:rPr>
          <w:rFonts w:hint="eastAsia"/>
          <w:b/>
          <w:bCs/>
          <w:sz w:val="28"/>
        </w:rPr>
        <w:t>.填报要求</w:t>
      </w:r>
    </w:p>
    <w:p>
      <w:pPr>
        <w:pStyle w:val="7"/>
        <w:ind w:firstLine="560"/>
        <w:jc w:val="left"/>
        <w:rPr>
          <w:sz w:val="28"/>
        </w:rPr>
      </w:pPr>
      <w:r>
        <w:rPr>
          <w:rFonts w:hint="eastAsia"/>
          <w:sz w:val="28"/>
        </w:rPr>
        <w:t>预算调整分为收入预算调整和支出预算调整。</w:t>
      </w:r>
      <w:r>
        <w:rPr>
          <w:sz w:val="28"/>
        </w:rPr>
        <w:t>各项预算包含的内容、对应的填报科室、归口部门、附件要求见下表：</w:t>
      </w:r>
    </w:p>
    <w:p>
      <w:pPr>
        <w:jc w:val="left"/>
        <w:rPr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38100</wp:posOffset>
            </wp:positionV>
            <wp:extent cx="5886450" cy="4010025"/>
            <wp:effectExtent l="0" t="0" r="0" b="0"/>
            <wp:wrapTight wrapText="bothSides">
              <wp:wrapPolygon>
                <wp:start x="0" y="0"/>
                <wp:lineTo x="0" y="21549"/>
                <wp:lineTo x="14610" y="21549"/>
                <wp:lineTo x="14610" y="21343"/>
                <wp:lineTo x="16287" y="20830"/>
                <wp:lineTo x="16287" y="20112"/>
                <wp:lineTo x="14610" y="19702"/>
                <wp:lineTo x="21530" y="19496"/>
                <wp:lineTo x="21530" y="16315"/>
                <wp:lineTo x="21250" y="14776"/>
                <wp:lineTo x="21390" y="13545"/>
                <wp:lineTo x="20621" y="13442"/>
                <wp:lineTo x="21530" y="13032"/>
                <wp:lineTo x="21111" y="11493"/>
                <wp:lineTo x="21460" y="10980"/>
                <wp:lineTo x="21460" y="10877"/>
                <wp:lineTo x="20691" y="9851"/>
                <wp:lineTo x="21530" y="9748"/>
                <wp:lineTo x="21530" y="8825"/>
                <wp:lineTo x="16357" y="8209"/>
                <wp:lineTo x="21530" y="7901"/>
                <wp:lineTo x="21530" y="6567"/>
                <wp:lineTo x="15938" y="6567"/>
                <wp:lineTo x="21320" y="5233"/>
                <wp:lineTo x="21530" y="3694"/>
                <wp:lineTo x="14610" y="3284"/>
                <wp:lineTo x="21530" y="2668"/>
                <wp:lineTo x="21530" y="1847"/>
                <wp:lineTo x="17476" y="1642"/>
                <wp:lineTo x="21530" y="718"/>
                <wp:lineTo x="21530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ind w:firstLine="560"/>
        <w:jc w:val="left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各项预算调整均需提供</w:t>
      </w:r>
      <w:r>
        <w:rPr>
          <w:rFonts w:hint="eastAsia"/>
          <w:b/>
          <w:bCs/>
          <w:sz w:val="28"/>
          <w:lang w:eastAsia="zh-CN"/>
        </w:rPr>
        <w:t>调整依据</w:t>
      </w:r>
      <w:r>
        <w:rPr>
          <w:rFonts w:hint="eastAsia"/>
          <w:sz w:val="28"/>
          <w:lang w:eastAsia="zh-CN"/>
        </w:rPr>
        <w:t>，同时</w:t>
      </w:r>
      <w:r>
        <w:rPr>
          <w:rFonts w:hint="eastAsia"/>
          <w:b/>
          <w:bCs/>
          <w:sz w:val="28"/>
        </w:rPr>
        <w:t>资产预算</w:t>
      </w:r>
      <w:r>
        <w:rPr>
          <w:rFonts w:hint="eastAsia"/>
          <w:b/>
          <w:bCs/>
          <w:sz w:val="28"/>
          <w:lang w:eastAsia="zh-CN"/>
        </w:rPr>
        <w:t>调整</w:t>
      </w:r>
      <w:r>
        <w:rPr>
          <w:rFonts w:hint="eastAsia"/>
          <w:b/>
          <w:bCs/>
          <w:sz w:val="28"/>
        </w:rPr>
        <w:t>在5万元及以上</w:t>
      </w:r>
      <w:r>
        <w:rPr>
          <w:rFonts w:hint="eastAsia"/>
          <w:b/>
          <w:bCs/>
          <w:sz w:val="28"/>
          <w:lang w:eastAsia="zh-CN"/>
        </w:rPr>
        <w:t>、修缮项目调整在</w:t>
      </w:r>
      <w:r>
        <w:rPr>
          <w:rFonts w:hint="eastAsia"/>
          <w:b/>
          <w:bCs/>
          <w:sz w:val="28"/>
          <w:lang w:val="en-US" w:eastAsia="zh-CN"/>
        </w:rPr>
        <w:t>10万元及以上</w:t>
      </w:r>
      <w:r>
        <w:rPr>
          <w:rFonts w:hint="eastAsia"/>
          <w:b/>
          <w:bCs/>
          <w:sz w:val="28"/>
        </w:rPr>
        <w:t>的，</w:t>
      </w:r>
      <w:r>
        <w:rPr>
          <w:rFonts w:hint="eastAsia"/>
          <w:b/>
          <w:bCs/>
          <w:sz w:val="28"/>
          <w:lang w:eastAsia="zh-CN"/>
        </w:rPr>
        <w:t>需提供预算申报表</w:t>
      </w:r>
      <w:r>
        <w:rPr>
          <w:rFonts w:hint="eastAsia"/>
          <w:sz w:val="28"/>
          <w:lang w:eastAsia="zh-CN"/>
        </w:rPr>
        <w:t>，报归口管理部门进行专家论证。</w:t>
      </w:r>
    </w:p>
    <w:p>
      <w:pPr>
        <w:ind w:firstLine="280" w:firstLineChars="100"/>
        <w:rPr>
          <w:sz w:val="28"/>
        </w:rPr>
      </w:pPr>
      <w:r>
        <w:rPr>
          <w:sz w:val="28"/>
        </w:rPr>
        <w:t>（</w:t>
      </w:r>
      <w:r>
        <w:rPr>
          <w:rFonts w:hint="eastAsia"/>
          <w:sz w:val="28"/>
        </w:rPr>
        <w:t>1</w:t>
      </w:r>
      <w:r>
        <w:rPr>
          <w:sz w:val="28"/>
        </w:rPr>
        <w:t>）调整依据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需要调整预算的各科室及职能处室（经费归口部门）需对所负责的经费进行预算执行分析，采用科学方法编制预算调整，并详述</w:t>
      </w:r>
      <w:r>
        <w:rPr>
          <w:rFonts w:hint="eastAsia"/>
          <w:b/>
          <w:bCs/>
          <w:sz w:val="28"/>
        </w:rPr>
        <w:t>调整原因和</w:t>
      </w:r>
      <w:r>
        <w:rPr>
          <w:rFonts w:hint="eastAsia"/>
          <w:b/>
          <w:bCs/>
          <w:sz w:val="28"/>
          <w:lang w:eastAsia="zh-CN"/>
        </w:rPr>
        <w:t>测算</w:t>
      </w:r>
      <w:r>
        <w:rPr>
          <w:rFonts w:hint="eastAsia"/>
          <w:b/>
          <w:bCs/>
          <w:sz w:val="28"/>
        </w:rPr>
        <w:t>依据</w:t>
      </w:r>
      <w:r>
        <w:rPr>
          <w:rFonts w:hint="eastAsia"/>
          <w:sz w:val="28"/>
        </w:rPr>
        <w:t>。</w:t>
      </w:r>
    </w:p>
    <w:p>
      <w:pPr>
        <w:ind w:firstLine="280" w:firstLineChars="100"/>
        <w:rPr>
          <w:sz w:val="28"/>
        </w:rPr>
      </w:pPr>
      <w:r>
        <w:rPr>
          <w:sz w:val="28"/>
        </w:rPr>
        <w:t>（</w:t>
      </w:r>
      <w:r>
        <w:rPr>
          <w:rFonts w:hint="eastAsia"/>
          <w:sz w:val="28"/>
        </w:rPr>
        <w:t>2</w:t>
      </w:r>
      <w:r>
        <w:rPr>
          <w:sz w:val="28"/>
        </w:rPr>
        <w:t>）</w:t>
      </w:r>
      <w:r>
        <w:rPr>
          <w:rFonts w:hint="eastAsia"/>
          <w:b w:val="0"/>
          <w:bCs/>
          <w:sz w:val="28"/>
          <w:highlight w:val="none"/>
          <w:lang w:eastAsia="zh-CN"/>
        </w:rPr>
        <w:t>预算申报表</w:t>
      </w:r>
    </w:p>
    <w:p>
      <w:p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资产（固定资产、无形资产）预算中，固定资产是指单价1000元以上（含1000元）的一般设备、家具，单价1500元以上（含1500元）的医疗专用设备；无形资产是指软件。</w:t>
      </w:r>
    </w:p>
    <w:p>
      <w:pPr>
        <w:ind w:firstLine="562" w:firstLineChars="200"/>
        <w:rPr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资产预算在5万元及以上的，需提交</w:t>
      </w:r>
      <w:r>
        <w:rPr>
          <w:rFonts w:hint="eastAsia"/>
          <w:b/>
          <w:sz w:val="28"/>
          <w:highlight w:val="none"/>
          <w:lang w:eastAsia="zh-CN"/>
        </w:rPr>
        <w:t>预算申报表（新增资产配置），修缮项目预算在</w:t>
      </w:r>
      <w:r>
        <w:rPr>
          <w:rFonts w:hint="eastAsia"/>
          <w:b/>
          <w:sz w:val="28"/>
          <w:highlight w:val="none"/>
          <w:lang w:val="en-US" w:eastAsia="zh-CN"/>
        </w:rPr>
        <w:t>10万元及以上的，</w:t>
      </w:r>
      <w:r>
        <w:rPr>
          <w:rFonts w:hint="eastAsia"/>
          <w:b/>
          <w:sz w:val="28"/>
          <w:highlight w:val="none"/>
        </w:rPr>
        <w:t>需提交</w:t>
      </w:r>
      <w:r>
        <w:rPr>
          <w:rFonts w:hint="eastAsia"/>
          <w:b/>
          <w:sz w:val="28"/>
          <w:highlight w:val="none"/>
          <w:lang w:eastAsia="zh-CN"/>
        </w:rPr>
        <w:t>预算申报表（修缮）。</w:t>
      </w:r>
      <w:r>
        <w:rPr>
          <w:rFonts w:hint="eastAsia"/>
          <w:b w:val="0"/>
          <w:bCs/>
          <w:sz w:val="28"/>
          <w:highlight w:val="none"/>
          <w:lang w:eastAsia="zh-CN"/>
        </w:rPr>
        <w:t>预算申报表</w:t>
      </w:r>
      <w:r>
        <w:rPr>
          <w:rFonts w:hint="eastAsia"/>
          <w:sz w:val="28"/>
          <w:highlight w:val="none"/>
        </w:rPr>
        <w:t>内容包括</w:t>
      </w:r>
      <w:r>
        <w:rPr>
          <w:rFonts w:hint="eastAsia"/>
          <w:sz w:val="28"/>
          <w:highlight w:val="none"/>
          <w:lang w:eastAsia="zh-CN"/>
        </w:rPr>
        <w:t>申请理由及主要内容、总体目标及分阶段实施计划、实施准备条件、绩效考评情况、绩效目标等</w:t>
      </w:r>
      <w:r>
        <w:rPr>
          <w:rFonts w:hint="eastAsia"/>
          <w:sz w:val="28"/>
          <w:highlight w:val="none"/>
        </w:rPr>
        <w:t>。</w:t>
      </w:r>
    </w:p>
    <w:p>
      <w:pPr>
        <w:numPr>
          <w:ilvl w:val="0"/>
          <w:numId w:val="3"/>
        </w:numPr>
        <w:ind w:firstLine="280" w:firstLineChars="10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填报方式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eastAsia"/>
          <w:b w:val="0"/>
          <w:bCs w:val="0"/>
          <w:sz w:val="28"/>
          <w:highlight w:val="none"/>
        </w:rPr>
      </w:pPr>
      <w:r>
        <w:rPr>
          <w:rFonts w:hint="eastAsia"/>
          <w:sz w:val="28"/>
        </w:rPr>
        <w:t>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>年度预算调整继续采取</w:t>
      </w:r>
      <w:r>
        <w:rPr>
          <w:rFonts w:hint="eastAsia"/>
          <w:b/>
          <w:bCs/>
          <w:sz w:val="28"/>
        </w:rPr>
        <w:t>网上填报</w:t>
      </w:r>
      <w:r>
        <w:rPr>
          <w:rFonts w:hint="eastAsia"/>
          <w:sz w:val="28"/>
        </w:rPr>
        <w:t>形式，请需要进行预算调整的科室登录</w:t>
      </w:r>
      <w:r>
        <w:rPr>
          <w:rFonts w:hint="eastAsia"/>
          <w:b/>
          <w:sz w:val="28"/>
        </w:rPr>
        <w:t>“财务信息一体化平台”——“预算管理”模块——“预算调整”节点的“预算调整单”</w:t>
      </w:r>
      <w:r>
        <w:rPr>
          <w:rFonts w:hint="eastAsia"/>
          <w:sz w:val="28"/>
        </w:rPr>
        <w:t>界面填报，</w:t>
      </w:r>
      <w:r>
        <w:rPr>
          <w:rFonts w:hint="eastAsia"/>
          <w:b w:val="0"/>
          <w:bCs w:val="0"/>
          <w:sz w:val="28"/>
          <w:highlight w:val="none"/>
        </w:rPr>
        <w:t>同时将相应</w:t>
      </w:r>
      <w:r>
        <w:rPr>
          <w:rFonts w:hint="eastAsia"/>
          <w:b w:val="0"/>
          <w:bCs w:val="0"/>
          <w:sz w:val="28"/>
          <w:highlight w:val="none"/>
          <w:u w:val="single"/>
        </w:rPr>
        <w:t>附件上传（预算调整依据、5万元及以上</w:t>
      </w:r>
      <w:r>
        <w:rPr>
          <w:rFonts w:hint="eastAsia"/>
          <w:b w:val="0"/>
          <w:bCs w:val="0"/>
          <w:sz w:val="28"/>
          <w:highlight w:val="none"/>
          <w:u w:val="single"/>
          <w:lang w:eastAsia="zh-CN"/>
        </w:rPr>
        <w:t>的资产预算调整、</w:t>
      </w:r>
      <w:r>
        <w:rPr>
          <w:rFonts w:hint="eastAsia"/>
          <w:b w:val="0"/>
          <w:bCs w:val="0"/>
          <w:sz w:val="28"/>
          <w:highlight w:val="none"/>
          <w:u w:val="single"/>
          <w:lang w:val="en-US" w:eastAsia="zh-CN"/>
        </w:rPr>
        <w:t>10万元及以上的修缮预算调整</w:t>
      </w:r>
      <w:r>
        <w:rPr>
          <w:rFonts w:hint="eastAsia"/>
          <w:b w:val="0"/>
          <w:bCs w:val="0"/>
          <w:sz w:val="28"/>
          <w:highlight w:val="none"/>
          <w:u w:val="single"/>
          <w:lang w:eastAsia="zh-CN"/>
        </w:rPr>
        <w:t>需上传预算申报表</w:t>
      </w:r>
      <w:r>
        <w:rPr>
          <w:rFonts w:hint="eastAsia"/>
          <w:b w:val="0"/>
          <w:bCs w:val="0"/>
          <w:sz w:val="28"/>
          <w:highlight w:val="none"/>
          <w:u w:val="single"/>
        </w:rPr>
        <w:t>）</w:t>
      </w:r>
      <w:r>
        <w:rPr>
          <w:rFonts w:hint="eastAsia"/>
          <w:b w:val="0"/>
          <w:bCs w:val="0"/>
          <w:sz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default"/>
          <w:b w:val="0"/>
          <w:bCs w:val="0"/>
          <w:sz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highlight w:val="none"/>
          <w:lang w:eastAsia="zh-CN"/>
        </w:rPr>
        <w:t>预算调整</w:t>
      </w:r>
      <w:r>
        <w:rPr>
          <w:rFonts w:hint="eastAsia"/>
          <w:b w:val="0"/>
          <w:bCs w:val="0"/>
          <w:sz w:val="28"/>
          <w:highlight w:val="none"/>
        </w:rPr>
        <w:t>通知、</w:t>
      </w:r>
      <w:r>
        <w:rPr>
          <w:rFonts w:hint="eastAsia"/>
          <w:b w:val="0"/>
          <w:bCs w:val="0"/>
          <w:sz w:val="28"/>
          <w:highlight w:val="none"/>
          <w:lang w:eastAsia="zh-CN"/>
        </w:rPr>
        <w:t>预算申报表（新增资产配置）、预算申报表（修缮）</w:t>
      </w:r>
      <w:r>
        <w:rPr>
          <w:rFonts w:hint="eastAsia"/>
          <w:b w:val="0"/>
          <w:bCs w:val="0"/>
          <w:sz w:val="28"/>
          <w:highlight w:val="none"/>
        </w:rPr>
        <w:t>请从我院官网计财处的办公指南版块下载。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t>三、时间安排</w:t>
      </w:r>
    </w:p>
    <w:p>
      <w:pPr>
        <w:numPr>
          <w:ilvl w:val="0"/>
          <w:numId w:val="4"/>
        </w:numPr>
        <w:ind w:firstLine="568" w:firstLineChars="202"/>
        <w:jc w:val="left"/>
        <w:rPr>
          <w:rFonts w:hint="eastAsia"/>
          <w:sz w:val="28"/>
          <w:u w:val="single"/>
          <w:lang w:eastAsia="zh-CN"/>
        </w:rPr>
      </w:pPr>
      <w:r>
        <w:rPr>
          <w:rFonts w:hint="eastAsia"/>
          <w:b/>
          <w:bCs/>
          <w:sz w:val="28"/>
        </w:rPr>
        <w:t>各科室</w:t>
      </w:r>
      <w:r>
        <w:rPr>
          <w:rFonts w:hint="eastAsia"/>
          <w:b/>
          <w:bCs/>
          <w:sz w:val="28"/>
          <w:u w:val="single"/>
        </w:rPr>
        <w:t>预算调整单填报</w:t>
      </w:r>
      <w:r>
        <w:rPr>
          <w:rFonts w:hint="eastAsia"/>
          <w:b/>
          <w:bCs/>
          <w:sz w:val="28"/>
        </w:rPr>
        <w:t>截止时间为</w:t>
      </w:r>
      <w:r>
        <w:rPr>
          <w:rFonts w:hint="eastAsia"/>
          <w:b/>
          <w:bCs/>
          <w:sz w:val="28"/>
          <w:highlight w:val="none"/>
          <w:u w:val="single"/>
        </w:rPr>
        <w:t>202</w:t>
      </w:r>
      <w:r>
        <w:rPr>
          <w:rFonts w:hint="eastAsia"/>
          <w:b/>
          <w:bCs/>
          <w:sz w:val="28"/>
          <w:highlight w:val="none"/>
          <w:u w:val="single"/>
          <w:lang w:val="en-US" w:eastAsia="zh-CN"/>
        </w:rPr>
        <w:t>1</w:t>
      </w:r>
      <w:r>
        <w:rPr>
          <w:rFonts w:hint="eastAsia"/>
          <w:b/>
          <w:bCs/>
          <w:sz w:val="28"/>
          <w:highlight w:val="none"/>
          <w:u w:val="single"/>
        </w:rPr>
        <w:t>年</w:t>
      </w:r>
      <w:r>
        <w:rPr>
          <w:rFonts w:hint="eastAsia"/>
          <w:b/>
          <w:bCs/>
          <w:sz w:val="28"/>
          <w:highlight w:val="none"/>
          <w:u w:val="single"/>
          <w:lang w:val="en-US" w:eastAsia="zh-CN"/>
        </w:rPr>
        <w:t>7</w:t>
      </w:r>
      <w:r>
        <w:rPr>
          <w:rFonts w:hint="eastAsia"/>
          <w:b/>
          <w:bCs/>
          <w:sz w:val="28"/>
          <w:highlight w:val="none"/>
          <w:u w:val="single"/>
        </w:rPr>
        <w:t>月</w:t>
      </w:r>
      <w:r>
        <w:rPr>
          <w:rFonts w:hint="eastAsia"/>
          <w:b/>
          <w:bCs/>
          <w:sz w:val="28"/>
          <w:highlight w:val="none"/>
          <w:u w:val="single"/>
          <w:lang w:val="en-US" w:eastAsia="zh-CN"/>
        </w:rPr>
        <w:t>9</w:t>
      </w:r>
      <w:r>
        <w:rPr>
          <w:rFonts w:hint="eastAsia"/>
          <w:b/>
          <w:bCs/>
          <w:sz w:val="28"/>
          <w:highlight w:val="none"/>
          <w:u w:val="single"/>
        </w:rPr>
        <w:t>日</w:t>
      </w:r>
      <w:r>
        <w:rPr>
          <w:rFonts w:hint="eastAsia"/>
          <w:sz w:val="28"/>
          <w:highlight w:val="none"/>
        </w:rPr>
        <w:t>，</w:t>
      </w:r>
      <w:r>
        <w:rPr>
          <w:rFonts w:hint="eastAsia"/>
          <w:b/>
          <w:bCs/>
          <w:sz w:val="28"/>
        </w:rPr>
        <w:t>各职能处室</w:t>
      </w:r>
      <w:r>
        <w:rPr>
          <w:rFonts w:hint="eastAsia"/>
          <w:b/>
          <w:bCs/>
          <w:sz w:val="28"/>
          <w:u w:val="single"/>
        </w:rPr>
        <w:t>审批</w:t>
      </w:r>
      <w:r>
        <w:rPr>
          <w:rFonts w:hint="eastAsia"/>
          <w:b/>
          <w:bCs/>
          <w:sz w:val="28"/>
        </w:rPr>
        <w:t>截止时间为</w:t>
      </w:r>
      <w:r>
        <w:rPr>
          <w:rFonts w:hint="eastAsia"/>
          <w:b/>
          <w:bCs/>
          <w:sz w:val="28"/>
          <w:highlight w:val="none"/>
          <w:u w:val="single"/>
        </w:rPr>
        <w:t>202</w:t>
      </w:r>
      <w:r>
        <w:rPr>
          <w:rFonts w:hint="eastAsia"/>
          <w:b/>
          <w:bCs/>
          <w:sz w:val="28"/>
          <w:highlight w:val="none"/>
          <w:u w:val="single"/>
          <w:lang w:val="en-US" w:eastAsia="zh-CN"/>
        </w:rPr>
        <w:t>1</w:t>
      </w:r>
      <w:r>
        <w:rPr>
          <w:rFonts w:hint="eastAsia"/>
          <w:b/>
          <w:bCs/>
          <w:sz w:val="28"/>
          <w:highlight w:val="none"/>
          <w:u w:val="single"/>
        </w:rPr>
        <w:t>年</w:t>
      </w:r>
      <w:r>
        <w:rPr>
          <w:rFonts w:hint="eastAsia"/>
          <w:b/>
          <w:bCs/>
          <w:sz w:val="28"/>
          <w:highlight w:val="none"/>
          <w:u w:val="single"/>
          <w:lang w:val="en-US" w:eastAsia="zh-CN"/>
        </w:rPr>
        <w:t>7</w:t>
      </w:r>
      <w:r>
        <w:rPr>
          <w:rFonts w:hint="eastAsia"/>
          <w:b/>
          <w:bCs/>
          <w:sz w:val="28"/>
          <w:highlight w:val="none"/>
          <w:u w:val="single"/>
        </w:rPr>
        <w:t>月</w:t>
      </w:r>
      <w:r>
        <w:rPr>
          <w:rFonts w:hint="eastAsia"/>
          <w:b/>
          <w:bCs/>
          <w:sz w:val="28"/>
          <w:highlight w:val="none"/>
          <w:u w:val="single"/>
          <w:lang w:val="en-US" w:eastAsia="zh-CN"/>
        </w:rPr>
        <w:t>16</w:t>
      </w:r>
      <w:r>
        <w:rPr>
          <w:rFonts w:hint="eastAsia"/>
          <w:b/>
          <w:bCs/>
          <w:sz w:val="28"/>
          <w:highlight w:val="none"/>
          <w:u w:val="single"/>
        </w:rPr>
        <w:t>日</w:t>
      </w:r>
      <w:r>
        <w:rPr>
          <w:rFonts w:hint="eastAsia"/>
          <w:sz w:val="28"/>
          <w:highlight w:val="none"/>
        </w:rPr>
        <w:t>，</w:t>
      </w:r>
      <w:r>
        <w:rPr>
          <w:rFonts w:hint="eastAsia"/>
          <w:sz w:val="28"/>
        </w:rPr>
        <w:t>请各科室按时填报。</w:t>
      </w:r>
      <w:r>
        <w:rPr>
          <w:rFonts w:hint="eastAsia"/>
          <w:sz w:val="28"/>
          <w:lang w:eastAsia="zh-CN"/>
        </w:rPr>
        <w:t>如</w:t>
      </w:r>
      <w:r>
        <w:rPr>
          <w:rFonts w:hint="eastAsia"/>
          <w:sz w:val="28"/>
          <w:u w:val="single"/>
          <w:lang w:eastAsia="zh-CN"/>
        </w:rPr>
        <w:t>未按时反馈，则视为无预算调整事项。</w:t>
      </w:r>
    </w:p>
    <w:p>
      <w:pPr>
        <w:numPr>
          <w:ilvl w:val="0"/>
          <w:numId w:val="4"/>
        </w:numPr>
        <w:ind w:firstLine="565" w:firstLineChars="202"/>
        <w:jc w:val="left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计财处于</w:t>
      </w:r>
      <w:r>
        <w:rPr>
          <w:rFonts w:hint="eastAsia"/>
          <w:sz w:val="28"/>
          <w:highlight w:val="none"/>
          <w:lang w:val="en-US" w:eastAsia="zh-CN"/>
        </w:rPr>
        <w:t>7月下旬进行</w:t>
      </w:r>
      <w:r>
        <w:rPr>
          <w:rFonts w:hint="eastAsia"/>
          <w:sz w:val="28"/>
          <w:lang w:val="en-US" w:eastAsia="zh-CN"/>
        </w:rPr>
        <w:t>汇总、形成预算调整方案初稿，报预算管理委员会审议、院长办公会和党委会审定后下达。</w:t>
      </w:r>
    </w:p>
    <w:p>
      <w:pPr>
        <w:ind w:firstLine="565" w:firstLineChars="202"/>
        <w:jc w:val="left"/>
        <w:rPr>
          <w:sz w:val="28"/>
        </w:rPr>
      </w:pPr>
    </w:p>
    <w:p>
      <w:pPr>
        <w:ind w:firstLine="565" w:firstLineChars="202"/>
        <w:jc w:val="left"/>
        <w:rPr>
          <w:sz w:val="28"/>
        </w:rPr>
      </w:pPr>
    </w:p>
    <w:p>
      <w:pPr>
        <w:tabs>
          <w:tab w:val="left" w:pos="5820"/>
        </w:tabs>
        <w:jc w:val="right"/>
        <w:rPr>
          <w:sz w:val="28"/>
        </w:rPr>
      </w:pPr>
      <w:r>
        <w:rPr>
          <w:rFonts w:hint="eastAsia"/>
          <w:sz w:val="28"/>
        </w:rPr>
        <w:t>北京大学第六医院计财处</w:t>
      </w:r>
    </w:p>
    <w:p>
      <w:pPr>
        <w:tabs>
          <w:tab w:val="left" w:pos="5820"/>
        </w:tabs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     </w:t>
      </w:r>
      <w:r>
        <w:rPr>
          <w:rFonts w:hint="eastAsia"/>
          <w:sz w:val="28"/>
          <w:highlight w:val="none"/>
        </w:rPr>
        <w:t>202</w:t>
      </w:r>
      <w:r>
        <w:rPr>
          <w:rFonts w:hint="eastAsia"/>
          <w:sz w:val="28"/>
          <w:highlight w:val="none"/>
          <w:lang w:val="en-US" w:eastAsia="zh-CN"/>
        </w:rPr>
        <w:t>1</w:t>
      </w:r>
      <w:r>
        <w:rPr>
          <w:rFonts w:hint="eastAsia"/>
          <w:sz w:val="28"/>
          <w:highlight w:val="none"/>
        </w:rPr>
        <w:t>年</w:t>
      </w:r>
      <w:r>
        <w:rPr>
          <w:rFonts w:hint="eastAsia"/>
          <w:sz w:val="28"/>
          <w:highlight w:val="none"/>
          <w:lang w:val="en-US" w:eastAsia="zh-CN"/>
        </w:rPr>
        <w:t>6</w:t>
      </w:r>
      <w:r>
        <w:rPr>
          <w:rFonts w:hint="eastAsia"/>
          <w:sz w:val="28"/>
          <w:highlight w:val="none"/>
        </w:rPr>
        <w:t>月</w:t>
      </w:r>
      <w:r>
        <w:rPr>
          <w:rFonts w:hint="eastAsia"/>
          <w:sz w:val="28"/>
          <w:highlight w:val="none"/>
          <w:lang w:val="en-US" w:eastAsia="zh-CN"/>
        </w:rPr>
        <w:t>25</w:t>
      </w:r>
      <w:r>
        <w:rPr>
          <w:rFonts w:hint="eastAsia"/>
          <w:sz w:val="28"/>
          <w:highlight w:val="none"/>
        </w:rPr>
        <w:t>日</w:t>
      </w:r>
    </w:p>
    <w:p>
      <w:pPr>
        <w:tabs>
          <w:tab w:val="left" w:pos="5820"/>
        </w:tabs>
        <w:jc w:val="center"/>
        <w:rPr>
          <w:sz w:val="28"/>
        </w:rPr>
      </w:pPr>
    </w:p>
    <w:p>
      <w:pPr>
        <w:tabs>
          <w:tab w:val="left" w:pos="5820"/>
        </w:tabs>
        <w:rPr>
          <w:sz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167976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488206"/>
    <w:multiLevelType w:val="singleLevel"/>
    <w:tmpl w:val="A94882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EFE437C"/>
    <w:multiLevelType w:val="singleLevel"/>
    <w:tmpl w:val="AEFE437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0AF7195"/>
    <w:multiLevelType w:val="singleLevel"/>
    <w:tmpl w:val="C0AF719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7E27638"/>
    <w:multiLevelType w:val="multilevel"/>
    <w:tmpl w:val="17E2763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21E9"/>
    <w:rsid w:val="00000E8B"/>
    <w:rsid w:val="000017CA"/>
    <w:rsid w:val="00002B49"/>
    <w:rsid w:val="00003D16"/>
    <w:rsid w:val="0000675E"/>
    <w:rsid w:val="000222FF"/>
    <w:rsid w:val="0002272A"/>
    <w:rsid w:val="00022DEE"/>
    <w:rsid w:val="00024143"/>
    <w:rsid w:val="00025533"/>
    <w:rsid w:val="000264F7"/>
    <w:rsid w:val="00027840"/>
    <w:rsid w:val="00031418"/>
    <w:rsid w:val="00031BBB"/>
    <w:rsid w:val="0003295F"/>
    <w:rsid w:val="00034E23"/>
    <w:rsid w:val="000357F1"/>
    <w:rsid w:val="00035B4B"/>
    <w:rsid w:val="00037333"/>
    <w:rsid w:val="000462EE"/>
    <w:rsid w:val="000466A4"/>
    <w:rsid w:val="000477D8"/>
    <w:rsid w:val="000521B5"/>
    <w:rsid w:val="000545ED"/>
    <w:rsid w:val="00055EE5"/>
    <w:rsid w:val="00056F8E"/>
    <w:rsid w:val="00061063"/>
    <w:rsid w:val="000675EC"/>
    <w:rsid w:val="0007394E"/>
    <w:rsid w:val="00076FCD"/>
    <w:rsid w:val="00084B13"/>
    <w:rsid w:val="000A227F"/>
    <w:rsid w:val="000A4795"/>
    <w:rsid w:val="000B2EAE"/>
    <w:rsid w:val="000B697A"/>
    <w:rsid w:val="000B7040"/>
    <w:rsid w:val="000C33D4"/>
    <w:rsid w:val="000C56D3"/>
    <w:rsid w:val="000C57FE"/>
    <w:rsid w:val="000C63FB"/>
    <w:rsid w:val="000C7A2D"/>
    <w:rsid w:val="000D184C"/>
    <w:rsid w:val="000D6FFE"/>
    <w:rsid w:val="000E034D"/>
    <w:rsid w:val="000E0BB0"/>
    <w:rsid w:val="000E28A0"/>
    <w:rsid w:val="000E3427"/>
    <w:rsid w:val="000E4A3F"/>
    <w:rsid w:val="000F0622"/>
    <w:rsid w:val="000F293C"/>
    <w:rsid w:val="000F425D"/>
    <w:rsid w:val="0010320E"/>
    <w:rsid w:val="00104E32"/>
    <w:rsid w:val="0011059C"/>
    <w:rsid w:val="00110CB2"/>
    <w:rsid w:val="00114DA4"/>
    <w:rsid w:val="00115308"/>
    <w:rsid w:val="00116E3F"/>
    <w:rsid w:val="001174A4"/>
    <w:rsid w:val="001234A6"/>
    <w:rsid w:val="00123595"/>
    <w:rsid w:val="001240EA"/>
    <w:rsid w:val="00125A67"/>
    <w:rsid w:val="00126021"/>
    <w:rsid w:val="001327CA"/>
    <w:rsid w:val="00132DC7"/>
    <w:rsid w:val="001330A7"/>
    <w:rsid w:val="00137346"/>
    <w:rsid w:val="0014191A"/>
    <w:rsid w:val="00142CFE"/>
    <w:rsid w:val="00145936"/>
    <w:rsid w:val="00146387"/>
    <w:rsid w:val="001512D1"/>
    <w:rsid w:val="00154A98"/>
    <w:rsid w:val="00156286"/>
    <w:rsid w:val="001576F9"/>
    <w:rsid w:val="00162E5E"/>
    <w:rsid w:val="00166982"/>
    <w:rsid w:val="001729EA"/>
    <w:rsid w:val="00174F2F"/>
    <w:rsid w:val="0018033A"/>
    <w:rsid w:val="00182D19"/>
    <w:rsid w:val="001855C5"/>
    <w:rsid w:val="00195D20"/>
    <w:rsid w:val="00195D80"/>
    <w:rsid w:val="001A1B21"/>
    <w:rsid w:val="001A391B"/>
    <w:rsid w:val="001B0847"/>
    <w:rsid w:val="001B24B7"/>
    <w:rsid w:val="001B296B"/>
    <w:rsid w:val="001B42C3"/>
    <w:rsid w:val="001B560B"/>
    <w:rsid w:val="001B609D"/>
    <w:rsid w:val="001B7D4E"/>
    <w:rsid w:val="001C1274"/>
    <w:rsid w:val="001C1587"/>
    <w:rsid w:val="001C1FA3"/>
    <w:rsid w:val="001C3F65"/>
    <w:rsid w:val="001C51D7"/>
    <w:rsid w:val="001D336C"/>
    <w:rsid w:val="001D4215"/>
    <w:rsid w:val="001D4BAB"/>
    <w:rsid w:val="001D6C1A"/>
    <w:rsid w:val="001D6CF6"/>
    <w:rsid w:val="001E0DB8"/>
    <w:rsid w:val="001E312D"/>
    <w:rsid w:val="001E3136"/>
    <w:rsid w:val="001E66A1"/>
    <w:rsid w:val="001E7238"/>
    <w:rsid w:val="001E7C5B"/>
    <w:rsid w:val="001F326E"/>
    <w:rsid w:val="001F4E5E"/>
    <w:rsid w:val="001F5EA2"/>
    <w:rsid w:val="00201433"/>
    <w:rsid w:val="0020634D"/>
    <w:rsid w:val="00206A4B"/>
    <w:rsid w:val="00207ED1"/>
    <w:rsid w:val="002110C7"/>
    <w:rsid w:val="002138A0"/>
    <w:rsid w:val="00215B72"/>
    <w:rsid w:val="00215D83"/>
    <w:rsid w:val="002201E3"/>
    <w:rsid w:val="002219FE"/>
    <w:rsid w:val="00227105"/>
    <w:rsid w:val="00232976"/>
    <w:rsid w:val="00232D3E"/>
    <w:rsid w:val="00233500"/>
    <w:rsid w:val="00233B1D"/>
    <w:rsid w:val="002375DA"/>
    <w:rsid w:val="002377D1"/>
    <w:rsid w:val="002378F8"/>
    <w:rsid w:val="00237C78"/>
    <w:rsid w:val="00237EA8"/>
    <w:rsid w:val="002410CF"/>
    <w:rsid w:val="002420B1"/>
    <w:rsid w:val="0024281D"/>
    <w:rsid w:val="00243DA6"/>
    <w:rsid w:val="00246098"/>
    <w:rsid w:val="002524F2"/>
    <w:rsid w:val="0025630B"/>
    <w:rsid w:val="002613C3"/>
    <w:rsid w:val="002624B0"/>
    <w:rsid w:val="00272BA9"/>
    <w:rsid w:val="00275F3F"/>
    <w:rsid w:val="00283BD6"/>
    <w:rsid w:val="00283E07"/>
    <w:rsid w:val="002850FD"/>
    <w:rsid w:val="00286C09"/>
    <w:rsid w:val="00287871"/>
    <w:rsid w:val="0029071F"/>
    <w:rsid w:val="00290E50"/>
    <w:rsid w:val="00293380"/>
    <w:rsid w:val="00297D2A"/>
    <w:rsid w:val="00297EB6"/>
    <w:rsid w:val="002A09C0"/>
    <w:rsid w:val="002A516E"/>
    <w:rsid w:val="002B1AA6"/>
    <w:rsid w:val="002B3035"/>
    <w:rsid w:val="002B3AD1"/>
    <w:rsid w:val="002B53D3"/>
    <w:rsid w:val="002B6862"/>
    <w:rsid w:val="002C02CD"/>
    <w:rsid w:val="002C158B"/>
    <w:rsid w:val="002C2CD2"/>
    <w:rsid w:val="002C5B61"/>
    <w:rsid w:val="002C5EF7"/>
    <w:rsid w:val="002C6503"/>
    <w:rsid w:val="002C6A24"/>
    <w:rsid w:val="002C7286"/>
    <w:rsid w:val="002D02CA"/>
    <w:rsid w:val="002D0700"/>
    <w:rsid w:val="002D0E4D"/>
    <w:rsid w:val="002D2570"/>
    <w:rsid w:val="002D7484"/>
    <w:rsid w:val="002D74EF"/>
    <w:rsid w:val="002D7645"/>
    <w:rsid w:val="002E1E7B"/>
    <w:rsid w:val="002E4D01"/>
    <w:rsid w:val="002E73D8"/>
    <w:rsid w:val="002F186A"/>
    <w:rsid w:val="002F349F"/>
    <w:rsid w:val="002F447A"/>
    <w:rsid w:val="00303969"/>
    <w:rsid w:val="00304E00"/>
    <w:rsid w:val="00305AFD"/>
    <w:rsid w:val="00306B5B"/>
    <w:rsid w:val="003145ED"/>
    <w:rsid w:val="0031495A"/>
    <w:rsid w:val="00320FE3"/>
    <w:rsid w:val="003251F8"/>
    <w:rsid w:val="0032527D"/>
    <w:rsid w:val="00325F86"/>
    <w:rsid w:val="00331362"/>
    <w:rsid w:val="00331755"/>
    <w:rsid w:val="00332460"/>
    <w:rsid w:val="00333A39"/>
    <w:rsid w:val="00333A5C"/>
    <w:rsid w:val="00334630"/>
    <w:rsid w:val="00334F1B"/>
    <w:rsid w:val="00335154"/>
    <w:rsid w:val="003368FB"/>
    <w:rsid w:val="00341B0B"/>
    <w:rsid w:val="0034655E"/>
    <w:rsid w:val="00346938"/>
    <w:rsid w:val="00353349"/>
    <w:rsid w:val="00355FF2"/>
    <w:rsid w:val="00356BC8"/>
    <w:rsid w:val="0035722F"/>
    <w:rsid w:val="00360A09"/>
    <w:rsid w:val="00362BC0"/>
    <w:rsid w:val="00364A36"/>
    <w:rsid w:val="00366F22"/>
    <w:rsid w:val="00373082"/>
    <w:rsid w:val="003757B3"/>
    <w:rsid w:val="003760DA"/>
    <w:rsid w:val="00377BB4"/>
    <w:rsid w:val="00380470"/>
    <w:rsid w:val="003809AE"/>
    <w:rsid w:val="003827AD"/>
    <w:rsid w:val="003832E2"/>
    <w:rsid w:val="00383FD9"/>
    <w:rsid w:val="00386DC5"/>
    <w:rsid w:val="00386E3C"/>
    <w:rsid w:val="00387A94"/>
    <w:rsid w:val="00391EF7"/>
    <w:rsid w:val="00392F8C"/>
    <w:rsid w:val="00393CBC"/>
    <w:rsid w:val="003950AE"/>
    <w:rsid w:val="00395B78"/>
    <w:rsid w:val="00396CEF"/>
    <w:rsid w:val="003A1CB9"/>
    <w:rsid w:val="003A5A17"/>
    <w:rsid w:val="003A5FFB"/>
    <w:rsid w:val="003A6420"/>
    <w:rsid w:val="003B1107"/>
    <w:rsid w:val="003B250A"/>
    <w:rsid w:val="003B34D7"/>
    <w:rsid w:val="003B5088"/>
    <w:rsid w:val="003B6B8A"/>
    <w:rsid w:val="003C6D29"/>
    <w:rsid w:val="003D0694"/>
    <w:rsid w:val="003D070D"/>
    <w:rsid w:val="003D1085"/>
    <w:rsid w:val="003D27D8"/>
    <w:rsid w:val="003D546A"/>
    <w:rsid w:val="003E1177"/>
    <w:rsid w:val="003E5C9E"/>
    <w:rsid w:val="003E75C8"/>
    <w:rsid w:val="003F0569"/>
    <w:rsid w:val="003F2D1F"/>
    <w:rsid w:val="003F3CE3"/>
    <w:rsid w:val="003F55D9"/>
    <w:rsid w:val="003F6BD5"/>
    <w:rsid w:val="003F6C1D"/>
    <w:rsid w:val="00403240"/>
    <w:rsid w:val="00404E79"/>
    <w:rsid w:val="00405051"/>
    <w:rsid w:val="0040679D"/>
    <w:rsid w:val="004107C3"/>
    <w:rsid w:val="00412230"/>
    <w:rsid w:val="00416ACC"/>
    <w:rsid w:val="0041733B"/>
    <w:rsid w:val="00417FDE"/>
    <w:rsid w:val="00421B6C"/>
    <w:rsid w:val="00424E40"/>
    <w:rsid w:val="00431472"/>
    <w:rsid w:val="00432E1D"/>
    <w:rsid w:val="004343BA"/>
    <w:rsid w:val="00440BC2"/>
    <w:rsid w:val="00441A25"/>
    <w:rsid w:val="00441CEE"/>
    <w:rsid w:val="00442509"/>
    <w:rsid w:val="004464C1"/>
    <w:rsid w:val="00446A04"/>
    <w:rsid w:val="00451ACB"/>
    <w:rsid w:val="00452E92"/>
    <w:rsid w:val="00454DED"/>
    <w:rsid w:val="004579BC"/>
    <w:rsid w:val="00461131"/>
    <w:rsid w:val="00461563"/>
    <w:rsid w:val="004637B8"/>
    <w:rsid w:val="00463988"/>
    <w:rsid w:val="004742E8"/>
    <w:rsid w:val="00474ED7"/>
    <w:rsid w:val="00475C1B"/>
    <w:rsid w:val="00477076"/>
    <w:rsid w:val="00477AFF"/>
    <w:rsid w:val="00477BFD"/>
    <w:rsid w:val="004856AC"/>
    <w:rsid w:val="00486574"/>
    <w:rsid w:val="00491432"/>
    <w:rsid w:val="00491B14"/>
    <w:rsid w:val="0049640A"/>
    <w:rsid w:val="004973E8"/>
    <w:rsid w:val="00497E1C"/>
    <w:rsid w:val="004A18EC"/>
    <w:rsid w:val="004A3CA4"/>
    <w:rsid w:val="004A4EE4"/>
    <w:rsid w:val="004A57DF"/>
    <w:rsid w:val="004A6C54"/>
    <w:rsid w:val="004A7AB0"/>
    <w:rsid w:val="004B19BA"/>
    <w:rsid w:val="004B2C09"/>
    <w:rsid w:val="004B35F4"/>
    <w:rsid w:val="004B5C82"/>
    <w:rsid w:val="004B6036"/>
    <w:rsid w:val="004B7379"/>
    <w:rsid w:val="004B7E66"/>
    <w:rsid w:val="004C3FB0"/>
    <w:rsid w:val="004C5D47"/>
    <w:rsid w:val="004D1E41"/>
    <w:rsid w:val="004D6239"/>
    <w:rsid w:val="004D7239"/>
    <w:rsid w:val="004E1A24"/>
    <w:rsid w:val="004E33E2"/>
    <w:rsid w:val="004E3438"/>
    <w:rsid w:val="004E368D"/>
    <w:rsid w:val="004E4B27"/>
    <w:rsid w:val="004E702F"/>
    <w:rsid w:val="004E7461"/>
    <w:rsid w:val="004F4B60"/>
    <w:rsid w:val="004F63BD"/>
    <w:rsid w:val="005010A5"/>
    <w:rsid w:val="00502025"/>
    <w:rsid w:val="005031E2"/>
    <w:rsid w:val="00503BA9"/>
    <w:rsid w:val="00504FEC"/>
    <w:rsid w:val="005058D7"/>
    <w:rsid w:val="005078F1"/>
    <w:rsid w:val="005116E0"/>
    <w:rsid w:val="005126AF"/>
    <w:rsid w:val="00512A5F"/>
    <w:rsid w:val="00512EAA"/>
    <w:rsid w:val="00513CD4"/>
    <w:rsid w:val="00516E5E"/>
    <w:rsid w:val="00517F14"/>
    <w:rsid w:val="005214A4"/>
    <w:rsid w:val="00525158"/>
    <w:rsid w:val="0052676E"/>
    <w:rsid w:val="00526E0A"/>
    <w:rsid w:val="00532CBC"/>
    <w:rsid w:val="00534964"/>
    <w:rsid w:val="00537039"/>
    <w:rsid w:val="005417ED"/>
    <w:rsid w:val="005456B6"/>
    <w:rsid w:val="0054662A"/>
    <w:rsid w:val="005467A7"/>
    <w:rsid w:val="0054765F"/>
    <w:rsid w:val="00547AFE"/>
    <w:rsid w:val="00547BD1"/>
    <w:rsid w:val="00551454"/>
    <w:rsid w:val="00553D2B"/>
    <w:rsid w:val="005570C3"/>
    <w:rsid w:val="00561DF5"/>
    <w:rsid w:val="00564114"/>
    <w:rsid w:val="005644CE"/>
    <w:rsid w:val="005648EE"/>
    <w:rsid w:val="00566E3D"/>
    <w:rsid w:val="00567856"/>
    <w:rsid w:val="005729AB"/>
    <w:rsid w:val="00575B9F"/>
    <w:rsid w:val="00576431"/>
    <w:rsid w:val="00583872"/>
    <w:rsid w:val="00584247"/>
    <w:rsid w:val="00584CC5"/>
    <w:rsid w:val="00584D09"/>
    <w:rsid w:val="00584DF9"/>
    <w:rsid w:val="0059109F"/>
    <w:rsid w:val="005912C1"/>
    <w:rsid w:val="0059186C"/>
    <w:rsid w:val="00592C17"/>
    <w:rsid w:val="0059464C"/>
    <w:rsid w:val="005962FC"/>
    <w:rsid w:val="00596699"/>
    <w:rsid w:val="005A516E"/>
    <w:rsid w:val="005A7590"/>
    <w:rsid w:val="005B0151"/>
    <w:rsid w:val="005B0F57"/>
    <w:rsid w:val="005B1A6F"/>
    <w:rsid w:val="005B22C9"/>
    <w:rsid w:val="005B46B5"/>
    <w:rsid w:val="005B6303"/>
    <w:rsid w:val="005C59F9"/>
    <w:rsid w:val="005D0D55"/>
    <w:rsid w:val="005D1CC6"/>
    <w:rsid w:val="005D4C89"/>
    <w:rsid w:val="005D7A86"/>
    <w:rsid w:val="005E17F6"/>
    <w:rsid w:val="005E3B43"/>
    <w:rsid w:val="005E3FCF"/>
    <w:rsid w:val="005E40CE"/>
    <w:rsid w:val="005E50DD"/>
    <w:rsid w:val="005E5175"/>
    <w:rsid w:val="005F59FB"/>
    <w:rsid w:val="005F5BE0"/>
    <w:rsid w:val="005F6044"/>
    <w:rsid w:val="005F78FA"/>
    <w:rsid w:val="00602B29"/>
    <w:rsid w:val="00602E84"/>
    <w:rsid w:val="00606DA1"/>
    <w:rsid w:val="0060728F"/>
    <w:rsid w:val="0060764D"/>
    <w:rsid w:val="00612628"/>
    <w:rsid w:val="006148D6"/>
    <w:rsid w:val="00615074"/>
    <w:rsid w:val="00616A54"/>
    <w:rsid w:val="00616B52"/>
    <w:rsid w:val="006202FA"/>
    <w:rsid w:val="00624626"/>
    <w:rsid w:val="00626944"/>
    <w:rsid w:val="0063285C"/>
    <w:rsid w:val="00632F42"/>
    <w:rsid w:val="00634F82"/>
    <w:rsid w:val="00635120"/>
    <w:rsid w:val="00636207"/>
    <w:rsid w:val="00636D3C"/>
    <w:rsid w:val="00640DE6"/>
    <w:rsid w:val="00643730"/>
    <w:rsid w:val="00646ED6"/>
    <w:rsid w:val="006506BE"/>
    <w:rsid w:val="006509E9"/>
    <w:rsid w:val="00651722"/>
    <w:rsid w:val="006526C0"/>
    <w:rsid w:val="00653239"/>
    <w:rsid w:val="00656D3E"/>
    <w:rsid w:val="00661EAD"/>
    <w:rsid w:val="0066249E"/>
    <w:rsid w:val="00662F6D"/>
    <w:rsid w:val="00663123"/>
    <w:rsid w:val="00673F52"/>
    <w:rsid w:val="00674265"/>
    <w:rsid w:val="00677A3B"/>
    <w:rsid w:val="00677DF4"/>
    <w:rsid w:val="00680FBA"/>
    <w:rsid w:val="00681A4E"/>
    <w:rsid w:val="00683D4C"/>
    <w:rsid w:val="00686346"/>
    <w:rsid w:val="00690482"/>
    <w:rsid w:val="00690CCA"/>
    <w:rsid w:val="00691558"/>
    <w:rsid w:val="0069224F"/>
    <w:rsid w:val="00693162"/>
    <w:rsid w:val="0069322A"/>
    <w:rsid w:val="00693E64"/>
    <w:rsid w:val="00695AAA"/>
    <w:rsid w:val="00697B29"/>
    <w:rsid w:val="006A4613"/>
    <w:rsid w:val="006B179F"/>
    <w:rsid w:val="006B377F"/>
    <w:rsid w:val="006B4635"/>
    <w:rsid w:val="006B53D6"/>
    <w:rsid w:val="006B5433"/>
    <w:rsid w:val="006B5A36"/>
    <w:rsid w:val="006B741F"/>
    <w:rsid w:val="006C29FB"/>
    <w:rsid w:val="006C4576"/>
    <w:rsid w:val="006C566E"/>
    <w:rsid w:val="006C5D78"/>
    <w:rsid w:val="006C5E5A"/>
    <w:rsid w:val="006C6467"/>
    <w:rsid w:val="006D180A"/>
    <w:rsid w:val="006D3D56"/>
    <w:rsid w:val="006E0C4B"/>
    <w:rsid w:val="006E0D5B"/>
    <w:rsid w:val="006E3C52"/>
    <w:rsid w:val="006E5DA7"/>
    <w:rsid w:val="006E7416"/>
    <w:rsid w:val="006E7B5C"/>
    <w:rsid w:val="006E7CF7"/>
    <w:rsid w:val="006F3EF6"/>
    <w:rsid w:val="006F409B"/>
    <w:rsid w:val="006F4D8B"/>
    <w:rsid w:val="006F6E77"/>
    <w:rsid w:val="006F78F8"/>
    <w:rsid w:val="007071C6"/>
    <w:rsid w:val="0071483E"/>
    <w:rsid w:val="007157AB"/>
    <w:rsid w:val="00716441"/>
    <w:rsid w:val="00720E82"/>
    <w:rsid w:val="007210BF"/>
    <w:rsid w:val="007215F2"/>
    <w:rsid w:val="00721755"/>
    <w:rsid w:val="00721DFD"/>
    <w:rsid w:val="00725F64"/>
    <w:rsid w:val="007273B2"/>
    <w:rsid w:val="0073130F"/>
    <w:rsid w:val="0073171B"/>
    <w:rsid w:val="0073417A"/>
    <w:rsid w:val="00737425"/>
    <w:rsid w:val="00740760"/>
    <w:rsid w:val="0074349B"/>
    <w:rsid w:val="007448E0"/>
    <w:rsid w:val="00746075"/>
    <w:rsid w:val="00752EFB"/>
    <w:rsid w:val="00755F9D"/>
    <w:rsid w:val="00760966"/>
    <w:rsid w:val="00762332"/>
    <w:rsid w:val="00763374"/>
    <w:rsid w:val="0076696D"/>
    <w:rsid w:val="007673A1"/>
    <w:rsid w:val="007674F0"/>
    <w:rsid w:val="00772C7A"/>
    <w:rsid w:val="00776465"/>
    <w:rsid w:val="00776755"/>
    <w:rsid w:val="00777F61"/>
    <w:rsid w:val="0078376D"/>
    <w:rsid w:val="007838BB"/>
    <w:rsid w:val="007838EB"/>
    <w:rsid w:val="007842B2"/>
    <w:rsid w:val="00784D61"/>
    <w:rsid w:val="00787874"/>
    <w:rsid w:val="00790F21"/>
    <w:rsid w:val="00792125"/>
    <w:rsid w:val="0079367C"/>
    <w:rsid w:val="0079478C"/>
    <w:rsid w:val="007967ED"/>
    <w:rsid w:val="007A12AE"/>
    <w:rsid w:val="007A2CEB"/>
    <w:rsid w:val="007A2CFF"/>
    <w:rsid w:val="007A302E"/>
    <w:rsid w:val="007A508F"/>
    <w:rsid w:val="007B2BB5"/>
    <w:rsid w:val="007B5DB3"/>
    <w:rsid w:val="007B78C0"/>
    <w:rsid w:val="007C0301"/>
    <w:rsid w:val="007C0D69"/>
    <w:rsid w:val="007C24C1"/>
    <w:rsid w:val="007C7B6E"/>
    <w:rsid w:val="007D1C9E"/>
    <w:rsid w:val="007D212F"/>
    <w:rsid w:val="007D46A0"/>
    <w:rsid w:val="007D4D1A"/>
    <w:rsid w:val="007E1DF0"/>
    <w:rsid w:val="007F20B9"/>
    <w:rsid w:val="007F4851"/>
    <w:rsid w:val="007F5A66"/>
    <w:rsid w:val="008008DA"/>
    <w:rsid w:val="00801C10"/>
    <w:rsid w:val="00805522"/>
    <w:rsid w:val="008056C3"/>
    <w:rsid w:val="00805FC1"/>
    <w:rsid w:val="00811254"/>
    <w:rsid w:val="00813916"/>
    <w:rsid w:val="008164AB"/>
    <w:rsid w:val="0082009A"/>
    <w:rsid w:val="008244EC"/>
    <w:rsid w:val="00826FB4"/>
    <w:rsid w:val="0083227B"/>
    <w:rsid w:val="0084026D"/>
    <w:rsid w:val="0084153F"/>
    <w:rsid w:val="00841D08"/>
    <w:rsid w:val="008447DB"/>
    <w:rsid w:val="008448E9"/>
    <w:rsid w:val="00846C57"/>
    <w:rsid w:val="00850308"/>
    <w:rsid w:val="00850E17"/>
    <w:rsid w:val="008520D4"/>
    <w:rsid w:val="0085516B"/>
    <w:rsid w:val="00855FAF"/>
    <w:rsid w:val="00856143"/>
    <w:rsid w:val="00861E9F"/>
    <w:rsid w:val="008653D6"/>
    <w:rsid w:val="00866B07"/>
    <w:rsid w:val="00867285"/>
    <w:rsid w:val="008758BA"/>
    <w:rsid w:val="00881792"/>
    <w:rsid w:val="00881ED4"/>
    <w:rsid w:val="008822BF"/>
    <w:rsid w:val="008827F7"/>
    <w:rsid w:val="008857E9"/>
    <w:rsid w:val="0089229B"/>
    <w:rsid w:val="00893C0F"/>
    <w:rsid w:val="00893C53"/>
    <w:rsid w:val="00894EEA"/>
    <w:rsid w:val="00895D82"/>
    <w:rsid w:val="008A1DE7"/>
    <w:rsid w:val="008A4E1D"/>
    <w:rsid w:val="008A5257"/>
    <w:rsid w:val="008A58CE"/>
    <w:rsid w:val="008A657D"/>
    <w:rsid w:val="008C1A99"/>
    <w:rsid w:val="008C1DFC"/>
    <w:rsid w:val="008C2D3A"/>
    <w:rsid w:val="008C3219"/>
    <w:rsid w:val="008C4DD7"/>
    <w:rsid w:val="008C66A6"/>
    <w:rsid w:val="008C70E1"/>
    <w:rsid w:val="008D37AF"/>
    <w:rsid w:val="008D4297"/>
    <w:rsid w:val="008D605B"/>
    <w:rsid w:val="008E3DE3"/>
    <w:rsid w:val="008E5B0B"/>
    <w:rsid w:val="008F7233"/>
    <w:rsid w:val="00906BFA"/>
    <w:rsid w:val="0091614B"/>
    <w:rsid w:val="0092197A"/>
    <w:rsid w:val="009231FD"/>
    <w:rsid w:val="00923615"/>
    <w:rsid w:val="0092394D"/>
    <w:rsid w:val="00923B90"/>
    <w:rsid w:val="00923FDD"/>
    <w:rsid w:val="00925F2B"/>
    <w:rsid w:val="00932383"/>
    <w:rsid w:val="009350D8"/>
    <w:rsid w:val="00936319"/>
    <w:rsid w:val="0093634A"/>
    <w:rsid w:val="00943C32"/>
    <w:rsid w:val="00943DE2"/>
    <w:rsid w:val="00944688"/>
    <w:rsid w:val="0094495A"/>
    <w:rsid w:val="00951AD7"/>
    <w:rsid w:val="00951BC4"/>
    <w:rsid w:val="00951F4D"/>
    <w:rsid w:val="00952F1C"/>
    <w:rsid w:val="009545EF"/>
    <w:rsid w:val="0095490D"/>
    <w:rsid w:val="00963761"/>
    <w:rsid w:val="009654C9"/>
    <w:rsid w:val="00966906"/>
    <w:rsid w:val="00966ADD"/>
    <w:rsid w:val="00966BDA"/>
    <w:rsid w:val="00970DA1"/>
    <w:rsid w:val="00973416"/>
    <w:rsid w:val="00975AB4"/>
    <w:rsid w:val="00977B0E"/>
    <w:rsid w:val="0098223F"/>
    <w:rsid w:val="00982754"/>
    <w:rsid w:val="009837B3"/>
    <w:rsid w:val="00985E30"/>
    <w:rsid w:val="009864C5"/>
    <w:rsid w:val="00987959"/>
    <w:rsid w:val="0099173B"/>
    <w:rsid w:val="0099664D"/>
    <w:rsid w:val="0099677C"/>
    <w:rsid w:val="009973BB"/>
    <w:rsid w:val="00997A7E"/>
    <w:rsid w:val="009A38A6"/>
    <w:rsid w:val="009A6FD7"/>
    <w:rsid w:val="009B297C"/>
    <w:rsid w:val="009B4176"/>
    <w:rsid w:val="009B5A2E"/>
    <w:rsid w:val="009B7926"/>
    <w:rsid w:val="009C04F3"/>
    <w:rsid w:val="009C285E"/>
    <w:rsid w:val="009C768B"/>
    <w:rsid w:val="009C7BB5"/>
    <w:rsid w:val="009D0C6A"/>
    <w:rsid w:val="009D0F1D"/>
    <w:rsid w:val="009D51A9"/>
    <w:rsid w:val="009D617D"/>
    <w:rsid w:val="009E136A"/>
    <w:rsid w:val="009E1777"/>
    <w:rsid w:val="009E1EC6"/>
    <w:rsid w:val="009E210D"/>
    <w:rsid w:val="009E4A2F"/>
    <w:rsid w:val="009E6764"/>
    <w:rsid w:val="009F041B"/>
    <w:rsid w:val="009F126A"/>
    <w:rsid w:val="009F1ADD"/>
    <w:rsid w:val="009F1B88"/>
    <w:rsid w:val="009F33E1"/>
    <w:rsid w:val="009F5CCA"/>
    <w:rsid w:val="009F5D38"/>
    <w:rsid w:val="009F71D7"/>
    <w:rsid w:val="009F7E35"/>
    <w:rsid w:val="009F7FCB"/>
    <w:rsid w:val="00A00BBD"/>
    <w:rsid w:val="00A044EA"/>
    <w:rsid w:val="00A0573D"/>
    <w:rsid w:val="00A0617A"/>
    <w:rsid w:val="00A0630E"/>
    <w:rsid w:val="00A067E0"/>
    <w:rsid w:val="00A06A9A"/>
    <w:rsid w:val="00A06D0A"/>
    <w:rsid w:val="00A12334"/>
    <w:rsid w:val="00A12541"/>
    <w:rsid w:val="00A12AFA"/>
    <w:rsid w:val="00A23767"/>
    <w:rsid w:val="00A24900"/>
    <w:rsid w:val="00A24F4E"/>
    <w:rsid w:val="00A270E1"/>
    <w:rsid w:val="00A300FB"/>
    <w:rsid w:val="00A30C7C"/>
    <w:rsid w:val="00A4086B"/>
    <w:rsid w:val="00A4226D"/>
    <w:rsid w:val="00A518D3"/>
    <w:rsid w:val="00A55E79"/>
    <w:rsid w:val="00A61113"/>
    <w:rsid w:val="00A62D31"/>
    <w:rsid w:val="00A64354"/>
    <w:rsid w:val="00A67B28"/>
    <w:rsid w:val="00A7186F"/>
    <w:rsid w:val="00A75F3E"/>
    <w:rsid w:val="00A83FE0"/>
    <w:rsid w:val="00A8522C"/>
    <w:rsid w:val="00A853AE"/>
    <w:rsid w:val="00A85C04"/>
    <w:rsid w:val="00A8692A"/>
    <w:rsid w:val="00A87061"/>
    <w:rsid w:val="00A92920"/>
    <w:rsid w:val="00A96E39"/>
    <w:rsid w:val="00A974AD"/>
    <w:rsid w:val="00AA1AD8"/>
    <w:rsid w:val="00AA3B0D"/>
    <w:rsid w:val="00AA7A3F"/>
    <w:rsid w:val="00AB26DD"/>
    <w:rsid w:val="00AB354E"/>
    <w:rsid w:val="00AC0D94"/>
    <w:rsid w:val="00AC1063"/>
    <w:rsid w:val="00AC2FCC"/>
    <w:rsid w:val="00AC402D"/>
    <w:rsid w:val="00AC48B6"/>
    <w:rsid w:val="00AC728A"/>
    <w:rsid w:val="00AE14D8"/>
    <w:rsid w:val="00AE1942"/>
    <w:rsid w:val="00AE1BC5"/>
    <w:rsid w:val="00AE5BEF"/>
    <w:rsid w:val="00AE7AD4"/>
    <w:rsid w:val="00AF3944"/>
    <w:rsid w:val="00AF4759"/>
    <w:rsid w:val="00AF52B2"/>
    <w:rsid w:val="00B00451"/>
    <w:rsid w:val="00B0122C"/>
    <w:rsid w:val="00B03B5B"/>
    <w:rsid w:val="00B063E3"/>
    <w:rsid w:val="00B14A51"/>
    <w:rsid w:val="00B17732"/>
    <w:rsid w:val="00B178B3"/>
    <w:rsid w:val="00B21EB5"/>
    <w:rsid w:val="00B2362A"/>
    <w:rsid w:val="00B23883"/>
    <w:rsid w:val="00B24EEC"/>
    <w:rsid w:val="00B26B20"/>
    <w:rsid w:val="00B33866"/>
    <w:rsid w:val="00B36836"/>
    <w:rsid w:val="00B36DCA"/>
    <w:rsid w:val="00B40806"/>
    <w:rsid w:val="00B4081F"/>
    <w:rsid w:val="00B40866"/>
    <w:rsid w:val="00B42120"/>
    <w:rsid w:val="00B4302C"/>
    <w:rsid w:val="00B43398"/>
    <w:rsid w:val="00B44D70"/>
    <w:rsid w:val="00B4558D"/>
    <w:rsid w:val="00B456E1"/>
    <w:rsid w:val="00B52388"/>
    <w:rsid w:val="00B53E13"/>
    <w:rsid w:val="00B54251"/>
    <w:rsid w:val="00B55B9C"/>
    <w:rsid w:val="00B564E5"/>
    <w:rsid w:val="00B567A9"/>
    <w:rsid w:val="00B61799"/>
    <w:rsid w:val="00B61D8E"/>
    <w:rsid w:val="00B620CD"/>
    <w:rsid w:val="00B62BFC"/>
    <w:rsid w:val="00B66F80"/>
    <w:rsid w:val="00B72560"/>
    <w:rsid w:val="00B816C8"/>
    <w:rsid w:val="00B83D86"/>
    <w:rsid w:val="00B855C2"/>
    <w:rsid w:val="00B85F11"/>
    <w:rsid w:val="00B918F6"/>
    <w:rsid w:val="00B93A94"/>
    <w:rsid w:val="00B94067"/>
    <w:rsid w:val="00BA1020"/>
    <w:rsid w:val="00BA106C"/>
    <w:rsid w:val="00BA28FD"/>
    <w:rsid w:val="00BA7248"/>
    <w:rsid w:val="00BC2466"/>
    <w:rsid w:val="00BD01D1"/>
    <w:rsid w:val="00BD2033"/>
    <w:rsid w:val="00BD24C6"/>
    <w:rsid w:val="00BD3EC1"/>
    <w:rsid w:val="00BD4839"/>
    <w:rsid w:val="00BE295B"/>
    <w:rsid w:val="00BE2A15"/>
    <w:rsid w:val="00BE2EEF"/>
    <w:rsid w:val="00BE30C1"/>
    <w:rsid w:val="00BE4A5C"/>
    <w:rsid w:val="00BE6E48"/>
    <w:rsid w:val="00BF3D0A"/>
    <w:rsid w:val="00C05091"/>
    <w:rsid w:val="00C10B54"/>
    <w:rsid w:val="00C1161C"/>
    <w:rsid w:val="00C11B12"/>
    <w:rsid w:val="00C217A5"/>
    <w:rsid w:val="00C22291"/>
    <w:rsid w:val="00C2412A"/>
    <w:rsid w:val="00C24AC7"/>
    <w:rsid w:val="00C26BEF"/>
    <w:rsid w:val="00C31B71"/>
    <w:rsid w:val="00C32772"/>
    <w:rsid w:val="00C33D45"/>
    <w:rsid w:val="00C371C4"/>
    <w:rsid w:val="00C43073"/>
    <w:rsid w:val="00C5155F"/>
    <w:rsid w:val="00C51FAA"/>
    <w:rsid w:val="00C6666B"/>
    <w:rsid w:val="00C66BF9"/>
    <w:rsid w:val="00C70CC8"/>
    <w:rsid w:val="00C72CBF"/>
    <w:rsid w:val="00C740CC"/>
    <w:rsid w:val="00C75919"/>
    <w:rsid w:val="00C817B0"/>
    <w:rsid w:val="00C869FE"/>
    <w:rsid w:val="00C86C74"/>
    <w:rsid w:val="00C93CF5"/>
    <w:rsid w:val="00C9408E"/>
    <w:rsid w:val="00C95873"/>
    <w:rsid w:val="00C95A7B"/>
    <w:rsid w:val="00C95D7E"/>
    <w:rsid w:val="00CA3D5C"/>
    <w:rsid w:val="00CA5F7C"/>
    <w:rsid w:val="00CA6104"/>
    <w:rsid w:val="00CA6C53"/>
    <w:rsid w:val="00CA7951"/>
    <w:rsid w:val="00CB3D34"/>
    <w:rsid w:val="00CB568E"/>
    <w:rsid w:val="00CC02C3"/>
    <w:rsid w:val="00CC05E7"/>
    <w:rsid w:val="00CC3B07"/>
    <w:rsid w:val="00CC6284"/>
    <w:rsid w:val="00CC6C6D"/>
    <w:rsid w:val="00CC6C83"/>
    <w:rsid w:val="00CD1D4D"/>
    <w:rsid w:val="00CD2925"/>
    <w:rsid w:val="00CD35C9"/>
    <w:rsid w:val="00CD3BFF"/>
    <w:rsid w:val="00CE0ED0"/>
    <w:rsid w:val="00CE4795"/>
    <w:rsid w:val="00CE4F8A"/>
    <w:rsid w:val="00CE5AA1"/>
    <w:rsid w:val="00CE5EF6"/>
    <w:rsid w:val="00CF0888"/>
    <w:rsid w:val="00CF1A6C"/>
    <w:rsid w:val="00CF200A"/>
    <w:rsid w:val="00CF65A5"/>
    <w:rsid w:val="00D04BAB"/>
    <w:rsid w:val="00D04FB5"/>
    <w:rsid w:val="00D06CC1"/>
    <w:rsid w:val="00D0738D"/>
    <w:rsid w:val="00D108C8"/>
    <w:rsid w:val="00D14567"/>
    <w:rsid w:val="00D14E81"/>
    <w:rsid w:val="00D15A88"/>
    <w:rsid w:val="00D21F61"/>
    <w:rsid w:val="00D2234A"/>
    <w:rsid w:val="00D22FCE"/>
    <w:rsid w:val="00D23D77"/>
    <w:rsid w:val="00D23D9B"/>
    <w:rsid w:val="00D333ED"/>
    <w:rsid w:val="00D34921"/>
    <w:rsid w:val="00D34EDF"/>
    <w:rsid w:val="00D40749"/>
    <w:rsid w:val="00D41516"/>
    <w:rsid w:val="00D42BFD"/>
    <w:rsid w:val="00D43A08"/>
    <w:rsid w:val="00D46CF5"/>
    <w:rsid w:val="00D502C4"/>
    <w:rsid w:val="00D5040B"/>
    <w:rsid w:val="00D50DA7"/>
    <w:rsid w:val="00D54FB0"/>
    <w:rsid w:val="00D56D4E"/>
    <w:rsid w:val="00D574EB"/>
    <w:rsid w:val="00D61FCE"/>
    <w:rsid w:val="00D62FC8"/>
    <w:rsid w:val="00D6336A"/>
    <w:rsid w:val="00D7130B"/>
    <w:rsid w:val="00D715AA"/>
    <w:rsid w:val="00D71EE9"/>
    <w:rsid w:val="00D736B3"/>
    <w:rsid w:val="00D73BDD"/>
    <w:rsid w:val="00D75473"/>
    <w:rsid w:val="00D8233C"/>
    <w:rsid w:val="00D8451B"/>
    <w:rsid w:val="00D86B6D"/>
    <w:rsid w:val="00D90124"/>
    <w:rsid w:val="00D9193B"/>
    <w:rsid w:val="00D92014"/>
    <w:rsid w:val="00D924E2"/>
    <w:rsid w:val="00D92874"/>
    <w:rsid w:val="00D9795A"/>
    <w:rsid w:val="00DA3C27"/>
    <w:rsid w:val="00DA3E61"/>
    <w:rsid w:val="00DA3EA5"/>
    <w:rsid w:val="00DB0993"/>
    <w:rsid w:val="00DB4E12"/>
    <w:rsid w:val="00DB6125"/>
    <w:rsid w:val="00DC111E"/>
    <w:rsid w:val="00DC50FA"/>
    <w:rsid w:val="00DC6E30"/>
    <w:rsid w:val="00DC7C46"/>
    <w:rsid w:val="00DD2681"/>
    <w:rsid w:val="00DD5B98"/>
    <w:rsid w:val="00DD6521"/>
    <w:rsid w:val="00DE2C8E"/>
    <w:rsid w:val="00DE3E64"/>
    <w:rsid w:val="00DE4C74"/>
    <w:rsid w:val="00DF787F"/>
    <w:rsid w:val="00E00047"/>
    <w:rsid w:val="00E03FDF"/>
    <w:rsid w:val="00E0425C"/>
    <w:rsid w:val="00E0454B"/>
    <w:rsid w:val="00E0518F"/>
    <w:rsid w:val="00E11D07"/>
    <w:rsid w:val="00E14B86"/>
    <w:rsid w:val="00E14C75"/>
    <w:rsid w:val="00E23EFB"/>
    <w:rsid w:val="00E25057"/>
    <w:rsid w:val="00E26D03"/>
    <w:rsid w:val="00E314DA"/>
    <w:rsid w:val="00E35EA0"/>
    <w:rsid w:val="00E3729A"/>
    <w:rsid w:val="00E43A9E"/>
    <w:rsid w:val="00E45D3B"/>
    <w:rsid w:val="00E46B35"/>
    <w:rsid w:val="00E47E89"/>
    <w:rsid w:val="00E5015F"/>
    <w:rsid w:val="00E551B4"/>
    <w:rsid w:val="00E55883"/>
    <w:rsid w:val="00E56AC7"/>
    <w:rsid w:val="00E57C40"/>
    <w:rsid w:val="00E57FCF"/>
    <w:rsid w:val="00E6102B"/>
    <w:rsid w:val="00E6482C"/>
    <w:rsid w:val="00E64971"/>
    <w:rsid w:val="00E66CC5"/>
    <w:rsid w:val="00E66FD4"/>
    <w:rsid w:val="00E716A3"/>
    <w:rsid w:val="00E718A3"/>
    <w:rsid w:val="00E73AF3"/>
    <w:rsid w:val="00E74358"/>
    <w:rsid w:val="00E84904"/>
    <w:rsid w:val="00E8561E"/>
    <w:rsid w:val="00E86D79"/>
    <w:rsid w:val="00E91894"/>
    <w:rsid w:val="00E93523"/>
    <w:rsid w:val="00E9536A"/>
    <w:rsid w:val="00E95958"/>
    <w:rsid w:val="00E95B4F"/>
    <w:rsid w:val="00E96071"/>
    <w:rsid w:val="00EA0BBF"/>
    <w:rsid w:val="00EA3D5F"/>
    <w:rsid w:val="00EB35D8"/>
    <w:rsid w:val="00EB4AA2"/>
    <w:rsid w:val="00EB4F7F"/>
    <w:rsid w:val="00EC0CDA"/>
    <w:rsid w:val="00ED00A0"/>
    <w:rsid w:val="00ED21E9"/>
    <w:rsid w:val="00ED2AD8"/>
    <w:rsid w:val="00ED6B7A"/>
    <w:rsid w:val="00EE1BBB"/>
    <w:rsid w:val="00EE3358"/>
    <w:rsid w:val="00EE64A5"/>
    <w:rsid w:val="00EF3C07"/>
    <w:rsid w:val="00EF6173"/>
    <w:rsid w:val="00EF756D"/>
    <w:rsid w:val="00F03ACF"/>
    <w:rsid w:val="00F07537"/>
    <w:rsid w:val="00F07FEF"/>
    <w:rsid w:val="00F104A5"/>
    <w:rsid w:val="00F137D4"/>
    <w:rsid w:val="00F13A12"/>
    <w:rsid w:val="00F1576B"/>
    <w:rsid w:val="00F159B3"/>
    <w:rsid w:val="00F163AC"/>
    <w:rsid w:val="00F17629"/>
    <w:rsid w:val="00F201E8"/>
    <w:rsid w:val="00F22714"/>
    <w:rsid w:val="00F257AD"/>
    <w:rsid w:val="00F26429"/>
    <w:rsid w:val="00F27C11"/>
    <w:rsid w:val="00F31918"/>
    <w:rsid w:val="00F336A1"/>
    <w:rsid w:val="00F3506B"/>
    <w:rsid w:val="00F366DC"/>
    <w:rsid w:val="00F36EA6"/>
    <w:rsid w:val="00F42D10"/>
    <w:rsid w:val="00F43401"/>
    <w:rsid w:val="00F44D96"/>
    <w:rsid w:val="00F45B7F"/>
    <w:rsid w:val="00F469F1"/>
    <w:rsid w:val="00F52759"/>
    <w:rsid w:val="00F52E64"/>
    <w:rsid w:val="00F5417D"/>
    <w:rsid w:val="00F57CF6"/>
    <w:rsid w:val="00F601D3"/>
    <w:rsid w:val="00F603B8"/>
    <w:rsid w:val="00F614E2"/>
    <w:rsid w:val="00F6372D"/>
    <w:rsid w:val="00F64CBD"/>
    <w:rsid w:val="00F74572"/>
    <w:rsid w:val="00F81C03"/>
    <w:rsid w:val="00F87CD1"/>
    <w:rsid w:val="00F90AB2"/>
    <w:rsid w:val="00F9161E"/>
    <w:rsid w:val="00F9260E"/>
    <w:rsid w:val="00F93FD0"/>
    <w:rsid w:val="00F95E2E"/>
    <w:rsid w:val="00F968E0"/>
    <w:rsid w:val="00FA1855"/>
    <w:rsid w:val="00FA2078"/>
    <w:rsid w:val="00FA22F7"/>
    <w:rsid w:val="00FA3042"/>
    <w:rsid w:val="00FA34BE"/>
    <w:rsid w:val="00FA7400"/>
    <w:rsid w:val="00FB0D48"/>
    <w:rsid w:val="00FB2F5E"/>
    <w:rsid w:val="00FB3E32"/>
    <w:rsid w:val="00FB52E3"/>
    <w:rsid w:val="00FB674E"/>
    <w:rsid w:val="00FC0E00"/>
    <w:rsid w:val="00FC2B1E"/>
    <w:rsid w:val="00FC2E81"/>
    <w:rsid w:val="00FC40CE"/>
    <w:rsid w:val="00FC75D8"/>
    <w:rsid w:val="00FC7EA7"/>
    <w:rsid w:val="00FD1E11"/>
    <w:rsid w:val="00FD243A"/>
    <w:rsid w:val="00FD474F"/>
    <w:rsid w:val="00FD51B5"/>
    <w:rsid w:val="00FD5611"/>
    <w:rsid w:val="00FD5C40"/>
    <w:rsid w:val="00FE1BCD"/>
    <w:rsid w:val="00FE3DDF"/>
    <w:rsid w:val="00FE68FB"/>
    <w:rsid w:val="00FE750B"/>
    <w:rsid w:val="00FE7760"/>
    <w:rsid w:val="00FE7C97"/>
    <w:rsid w:val="00FF41C5"/>
    <w:rsid w:val="00FF5E31"/>
    <w:rsid w:val="00FF63A3"/>
    <w:rsid w:val="00FF7A19"/>
    <w:rsid w:val="02D52CE6"/>
    <w:rsid w:val="03650642"/>
    <w:rsid w:val="04FB4FDB"/>
    <w:rsid w:val="068C2C2A"/>
    <w:rsid w:val="06C12F32"/>
    <w:rsid w:val="078D75DF"/>
    <w:rsid w:val="07B22C3A"/>
    <w:rsid w:val="0A684CA0"/>
    <w:rsid w:val="0D89783D"/>
    <w:rsid w:val="0FA536B5"/>
    <w:rsid w:val="118F6AA0"/>
    <w:rsid w:val="12552304"/>
    <w:rsid w:val="18BE3273"/>
    <w:rsid w:val="1F9164FE"/>
    <w:rsid w:val="20D77EFD"/>
    <w:rsid w:val="21605909"/>
    <w:rsid w:val="226B442B"/>
    <w:rsid w:val="22F73C93"/>
    <w:rsid w:val="25C06E54"/>
    <w:rsid w:val="26FD3B0F"/>
    <w:rsid w:val="278C2FAA"/>
    <w:rsid w:val="27DF426B"/>
    <w:rsid w:val="2A1C38C8"/>
    <w:rsid w:val="2A432A42"/>
    <w:rsid w:val="2B741454"/>
    <w:rsid w:val="2CF16268"/>
    <w:rsid w:val="30F5778D"/>
    <w:rsid w:val="36AB20D9"/>
    <w:rsid w:val="36B26AF5"/>
    <w:rsid w:val="37A759D2"/>
    <w:rsid w:val="390001F4"/>
    <w:rsid w:val="3B9B2521"/>
    <w:rsid w:val="3C0C5E0A"/>
    <w:rsid w:val="3C215AB7"/>
    <w:rsid w:val="3D64753B"/>
    <w:rsid w:val="3E5A3BBF"/>
    <w:rsid w:val="3F0018F1"/>
    <w:rsid w:val="42741A78"/>
    <w:rsid w:val="42AF0DAE"/>
    <w:rsid w:val="43C278A4"/>
    <w:rsid w:val="4777653B"/>
    <w:rsid w:val="4CAB1850"/>
    <w:rsid w:val="528A01A9"/>
    <w:rsid w:val="52E736D9"/>
    <w:rsid w:val="531314F4"/>
    <w:rsid w:val="547F495B"/>
    <w:rsid w:val="5A5C0C8D"/>
    <w:rsid w:val="5B402C5B"/>
    <w:rsid w:val="5BB0300A"/>
    <w:rsid w:val="5C775DB4"/>
    <w:rsid w:val="5E097F0B"/>
    <w:rsid w:val="5E3A7D52"/>
    <w:rsid w:val="5EAC5203"/>
    <w:rsid w:val="5FA13D3A"/>
    <w:rsid w:val="616D4E64"/>
    <w:rsid w:val="652F34C2"/>
    <w:rsid w:val="670F5132"/>
    <w:rsid w:val="6AEB51F8"/>
    <w:rsid w:val="6BAB34FA"/>
    <w:rsid w:val="6C280B77"/>
    <w:rsid w:val="6C7B1557"/>
    <w:rsid w:val="6CC92884"/>
    <w:rsid w:val="6E9128F5"/>
    <w:rsid w:val="6ED8403F"/>
    <w:rsid w:val="70490717"/>
    <w:rsid w:val="721C3E7D"/>
    <w:rsid w:val="730E2464"/>
    <w:rsid w:val="73A5678A"/>
    <w:rsid w:val="74E151E2"/>
    <w:rsid w:val="75374578"/>
    <w:rsid w:val="753F72E6"/>
    <w:rsid w:val="75EA161F"/>
    <w:rsid w:val="793452CF"/>
    <w:rsid w:val="793F4F30"/>
    <w:rsid w:val="7A063FCD"/>
    <w:rsid w:val="7C2040F9"/>
    <w:rsid w:val="7C3B4F91"/>
    <w:rsid w:val="7CF6159A"/>
    <w:rsid w:val="7FF2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A2363B-8D8B-4F9D-AA99-AE98E78D68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</Company>
  <Pages>3</Pages>
  <Words>170</Words>
  <Characters>969</Characters>
  <Lines>8</Lines>
  <Paragraphs>2</Paragraphs>
  <TotalTime>60</TotalTime>
  <ScaleCrop>false</ScaleCrop>
  <LinksUpToDate>false</LinksUpToDate>
  <CharactersWithSpaces>1137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2016-07-04T05:33:00Z</dcterms:created>
  <dc:creator>li</dc:creator>
  <cp:lastModifiedBy>ln</cp:lastModifiedBy>
  <cp:lastPrinted>2020-05-26T01:47:00Z</cp:lastPrinted>
  <dcterms:modified xsi:type="dcterms:W3CDTF">2021-06-24T07:24:26Z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CB5E8687A68448249AB046A406FF8676</vt:lpwstr>
  </property>
</Properties>
</file>