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宋体" w:hAnsi="宋体"/>
          <w:b/>
          <w:color w:val="000000"/>
          <w:sz w:val="24"/>
          <w:szCs w:val="24"/>
        </w:rPr>
      </w:pPr>
      <w:r>
        <w:rPr>
          <w:rFonts w:hint="eastAsia" w:ascii="宋体" w:hAnsi="宋体"/>
          <w:b/>
          <w:color w:val="000000"/>
          <w:sz w:val="24"/>
          <w:szCs w:val="24"/>
        </w:rPr>
        <w:t>评标细则</w:t>
      </w:r>
    </w:p>
    <w:p>
      <w:pPr>
        <w:spacing w:line="520" w:lineRule="exact"/>
        <w:jc w:val="left"/>
        <w:rPr>
          <w:rFonts w:ascii="宋体" w:hAnsi="宋体"/>
          <w:b/>
          <w:color w:val="000000"/>
          <w:sz w:val="24"/>
          <w:szCs w:val="24"/>
        </w:rPr>
      </w:pPr>
      <w:r>
        <w:rPr>
          <w:rFonts w:hint="eastAsia" w:ascii="宋体" w:hAnsi="宋体"/>
          <w:b/>
          <w:color w:val="000000"/>
          <w:sz w:val="24"/>
          <w:szCs w:val="24"/>
        </w:rPr>
        <w:t>一、总则</w:t>
      </w:r>
    </w:p>
    <w:p>
      <w:pPr>
        <w:spacing w:line="480" w:lineRule="exact"/>
        <w:ind w:firstLine="482"/>
        <w:rPr>
          <w:rFonts w:hint="eastAsia" w:ascii="宋体" w:hAnsi="宋体"/>
          <w:color w:val="000000"/>
          <w:sz w:val="24"/>
          <w:szCs w:val="24"/>
        </w:rPr>
      </w:pPr>
      <w:r>
        <w:rPr>
          <w:rFonts w:hint="eastAsia" w:ascii="宋体" w:hAnsi="宋体"/>
          <w:color w:val="000000"/>
          <w:sz w:val="24"/>
          <w:szCs w:val="24"/>
        </w:rPr>
        <w:t>评标委员会将仅对在实质上响应论证要求的论证文件进行评价和比较。论证文件的评价采用综合评分法，评分按商务、技术和价格三部分分别打分的方式进行。满分为100分。</w:t>
      </w:r>
    </w:p>
    <w:p>
      <w:pPr>
        <w:spacing w:line="520" w:lineRule="exact"/>
        <w:jc w:val="left"/>
        <w:rPr>
          <w:rFonts w:hint="eastAsia" w:ascii="宋体" w:hAnsi="宋体"/>
          <w:color w:val="000000"/>
          <w:sz w:val="24"/>
          <w:szCs w:val="24"/>
        </w:rPr>
      </w:pPr>
      <w:r>
        <w:rPr>
          <w:rFonts w:hint="eastAsia" w:ascii="宋体" w:hAnsi="宋体"/>
          <w:b/>
          <w:color w:val="000000"/>
          <w:sz w:val="24"/>
          <w:szCs w:val="24"/>
        </w:rPr>
        <w:t>二、评分细则</w:t>
      </w:r>
    </w:p>
    <w:tbl>
      <w:tblPr>
        <w:tblStyle w:val="5"/>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786"/>
        <w:gridCol w:w="5211"/>
        <w:gridCol w:w="10"/>
        <w:gridCol w:w="1164"/>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b/>
                <w:bCs/>
                <w:color w:val="000000"/>
                <w:kern w:val="0"/>
                <w:sz w:val="24"/>
                <w:szCs w:val="24"/>
              </w:rPr>
            </w:pPr>
            <w:r>
              <w:rPr>
                <w:rFonts w:hint="eastAsia" w:ascii="宋体" w:hAnsi="宋体"/>
                <w:b/>
                <w:bCs/>
                <w:color w:val="000000"/>
                <w:kern w:val="0"/>
                <w:sz w:val="24"/>
                <w:szCs w:val="24"/>
              </w:rPr>
              <w:t>序号</w:t>
            </w:r>
          </w:p>
        </w:tc>
        <w:tc>
          <w:tcPr>
            <w:tcW w:w="17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b/>
                <w:bCs/>
                <w:color w:val="000000"/>
                <w:kern w:val="0"/>
                <w:sz w:val="24"/>
                <w:szCs w:val="24"/>
              </w:rPr>
            </w:pPr>
            <w:r>
              <w:rPr>
                <w:rFonts w:hint="eastAsia" w:ascii="宋体" w:hAnsi="宋体"/>
                <w:b/>
                <w:bCs/>
                <w:color w:val="000000"/>
                <w:kern w:val="0"/>
                <w:sz w:val="24"/>
                <w:szCs w:val="24"/>
              </w:rPr>
              <w:t>类别</w:t>
            </w:r>
          </w:p>
        </w:tc>
        <w:tc>
          <w:tcPr>
            <w:tcW w:w="5221"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b/>
                <w:bCs/>
                <w:color w:val="000000"/>
                <w:kern w:val="0"/>
                <w:sz w:val="24"/>
                <w:szCs w:val="24"/>
              </w:rPr>
            </w:pPr>
            <w:r>
              <w:rPr>
                <w:rFonts w:hint="eastAsia" w:ascii="宋体" w:hAnsi="宋体"/>
                <w:b/>
                <w:bCs/>
                <w:color w:val="000000"/>
                <w:kern w:val="0"/>
                <w:sz w:val="24"/>
                <w:szCs w:val="24"/>
              </w:rPr>
              <w:t>说明</w:t>
            </w:r>
          </w:p>
        </w:tc>
        <w:tc>
          <w:tcPr>
            <w:tcW w:w="1172"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b/>
                <w:bCs/>
                <w:color w:val="000000"/>
                <w:kern w:val="0"/>
                <w:sz w:val="24"/>
                <w:szCs w:val="24"/>
              </w:rPr>
            </w:pPr>
            <w:r>
              <w:rPr>
                <w:rFonts w:hint="eastAsia" w:ascii="宋体" w:hAnsi="宋体"/>
                <w:b/>
                <w:bCs/>
                <w:color w:val="000000"/>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68"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1</w:t>
            </w:r>
          </w:p>
        </w:tc>
        <w:tc>
          <w:tcPr>
            <w:tcW w:w="178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业绩</w:t>
            </w:r>
            <w:bookmarkStart w:id="1" w:name="_GoBack"/>
            <w:bookmarkEnd w:id="1"/>
          </w:p>
        </w:tc>
        <w:tc>
          <w:tcPr>
            <w:tcW w:w="521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4"/>
                <w:szCs w:val="24"/>
              </w:rPr>
            </w:pPr>
            <w:r>
              <w:rPr>
                <w:rFonts w:hint="eastAsia" w:ascii="宋体" w:hAnsi="宋体"/>
                <w:color w:val="000000"/>
                <w:kern w:val="0"/>
                <w:sz w:val="24"/>
                <w:szCs w:val="24"/>
              </w:rPr>
              <w:t>投标人自</w:t>
            </w:r>
            <w:r>
              <w:rPr>
                <w:rFonts w:hint="eastAsia" w:ascii="宋体" w:hAnsi="宋体"/>
                <w:color w:val="auto"/>
                <w:kern w:val="0"/>
                <w:sz w:val="24"/>
                <w:szCs w:val="24"/>
              </w:rPr>
              <w:t>2019年</w:t>
            </w:r>
            <w:r>
              <w:rPr>
                <w:rFonts w:hint="eastAsia" w:ascii="宋体" w:hAnsi="宋体"/>
                <w:color w:val="000000"/>
                <w:kern w:val="0"/>
                <w:sz w:val="24"/>
                <w:szCs w:val="24"/>
              </w:rPr>
              <w:t>至今已承接的类似运维服务项目进行评价，每一项类似业绩得2分，最高得10分。</w:t>
            </w:r>
            <w:r>
              <w:rPr>
                <w:rFonts w:hint="eastAsia" w:ascii="宋体" w:hAnsi="宋体"/>
                <w:color w:val="000000"/>
                <w:sz w:val="24"/>
                <w:szCs w:val="24"/>
              </w:rPr>
              <w:t>注：以上项目须提供合同以下相关部分复印件，包括首页、签署盖章页、显示上述内容的相关页。未提供则不得分。</w:t>
            </w:r>
          </w:p>
        </w:tc>
        <w:tc>
          <w:tcPr>
            <w:tcW w:w="117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olor w:val="000000"/>
                <w:sz w:val="24"/>
                <w:szCs w:val="24"/>
              </w:rPr>
            </w:pPr>
            <w:r>
              <w:rPr>
                <w:rFonts w:hint="eastAsia" w:ascii="宋体" w:hAnsi="宋体"/>
                <w:color w:val="000000"/>
                <w:sz w:val="24"/>
                <w:szCs w:val="24"/>
              </w:rPr>
              <w:t>2</w:t>
            </w:r>
          </w:p>
        </w:tc>
        <w:tc>
          <w:tcPr>
            <w:tcW w:w="1786" w:type="dxa"/>
            <w:tcBorders>
              <w:top w:val="single" w:color="auto" w:sz="4" w:space="0"/>
              <w:left w:val="nil"/>
              <w:bottom w:val="single" w:color="auto" w:sz="4" w:space="0"/>
              <w:right w:val="single" w:color="auto" w:sz="4" w:space="0"/>
            </w:tcBorders>
            <w:vAlign w:val="center"/>
          </w:tcPr>
          <w:p>
            <w:pPr>
              <w:adjustRightInd w:val="0"/>
              <w:snapToGrid w:val="0"/>
              <w:jc w:val="center"/>
              <w:rPr>
                <w:rFonts w:hint="eastAsia" w:ascii="宋体" w:hAnsi="宋体"/>
                <w:color w:val="000000"/>
                <w:sz w:val="24"/>
                <w:szCs w:val="24"/>
              </w:rPr>
            </w:pPr>
            <w:r>
              <w:rPr>
                <w:rFonts w:hint="eastAsia" w:ascii="宋体" w:hAnsi="宋体"/>
                <w:color w:val="000000"/>
                <w:sz w:val="24"/>
                <w:szCs w:val="24"/>
              </w:rPr>
              <w:t>服务范围</w:t>
            </w:r>
          </w:p>
        </w:tc>
        <w:tc>
          <w:tcPr>
            <w:tcW w:w="5221" w:type="dxa"/>
            <w:gridSpan w:val="2"/>
            <w:tcBorders>
              <w:top w:val="single" w:color="auto" w:sz="4" w:space="0"/>
              <w:left w:val="nil"/>
              <w:bottom w:val="single" w:color="auto" w:sz="4" w:space="0"/>
              <w:right w:val="single" w:color="auto" w:sz="4" w:space="0"/>
            </w:tcBorders>
            <w:vAlign w:val="center"/>
          </w:tcPr>
          <w:p>
            <w:pPr>
              <w:adjustRightInd w:val="0"/>
              <w:snapToGrid w:val="0"/>
              <w:rPr>
                <w:rFonts w:hint="eastAsia" w:ascii="宋体" w:hAnsi="宋体"/>
                <w:color w:val="000000"/>
                <w:sz w:val="24"/>
                <w:szCs w:val="24"/>
              </w:rPr>
            </w:pPr>
            <w:r>
              <w:rPr>
                <w:rFonts w:hint="eastAsia" w:ascii="宋体" w:hAnsi="宋体"/>
                <w:color w:val="000000"/>
                <w:sz w:val="24"/>
                <w:szCs w:val="24"/>
              </w:rPr>
              <w:t>完全满足得10分，未完全满足或未提供得0分。</w:t>
            </w:r>
          </w:p>
        </w:tc>
        <w:tc>
          <w:tcPr>
            <w:tcW w:w="1172"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hint="eastAsia" w:ascii="宋体" w:hAnsi="宋体"/>
                <w:color w:val="000000"/>
                <w:sz w:val="24"/>
                <w:szCs w:val="24"/>
              </w:rPr>
            </w:pPr>
            <w:r>
              <w:rPr>
                <w:rFonts w:hint="eastAsia" w:ascii="宋体" w:hAnsi="宋体"/>
                <w:color w:val="00000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3</w:t>
            </w:r>
          </w:p>
        </w:tc>
        <w:tc>
          <w:tcPr>
            <w:tcW w:w="17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服务内容应答</w:t>
            </w:r>
          </w:p>
        </w:tc>
        <w:tc>
          <w:tcPr>
            <w:tcW w:w="5221" w:type="dxa"/>
            <w:gridSpan w:val="2"/>
            <w:tcBorders>
              <w:top w:val="single" w:color="auto" w:sz="4" w:space="0"/>
              <w:left w:val="nil"/>
              <w:bottom w:val="single" w:color="auto" w:sz="4" w:space="0"/>
              <w:right w:val="single" w:color="auto" w:sz="4" w:space="0"/>
            </w:tcBorders>
            <w:vAlign w:val="center"/>
          </w:tcPr>
          <w:p>
            <w:pPr>
              <w:adjustRightInd w:val="0"/>
              <w:snapToGrid w:val="0"/>
              <w:rPr>
                <w:rFonts w:ascii="宋体" w:hAnsi="宋体"/>
                <w:color w:val="000000"/>
                <w:sz w:val="24"/>
                <w:szCs w:val="24"/>
              </w:rPr>
            </w:pPr>
            <w:r>
              <w:rPr>
                <w:rFonts w:hint="eastAsia" w:ascii="宋体" w:hAnsi="宋体"/>
                <w:color w:val="000000"/>
                <w:sz w:val="24"/>
                <w:szCs w:val="24"/>
              </w:rPr>
              <w:t>完全满足得10分，每有一项条款负偏离扣减2分，本项最低得0分。</w:t>
            </w:r>
          </w:p>
        </w:tc>
        <w:tc>
          <w:tcPr>
            <w:tcW w:w="1172"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4</w:t>
            </w:r>
          </w:p>
        </w:tc>
        <w:tc>
          <w:tcPr>
            <w:tcW w:w="17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服务方案</w:t>
            </w:r>
          </w:p>
        </w:tc>
        <w:tc>
          <w:tcPr>
            <w:tcW w:w="5221" w:type="dxa"/>
            <w:gridSpan w:val="2"/>
            <w:tcBorders>
              <w:top w:val="single" w:color="auto" w:sz="4" w:space="0"/>
              <w:left w:val="nil"/>
              <w:bottom w:val="single" w:color="auto" w:sz="4" w:space="0"/>
              <w:right w:val="single" w:color="auto" w:sz="4" w:space="0"/>
            </w:tcBorders>
            <w:vAlign w:val="center"/>
          </w:tcPr>
          <w:p>
            <w:pPr>
              <w:adjustRightInd w:val="0"/>
              <w:snapToGrid w:val="0"/>
              <w:rPr>
                <w:rFonts w:ascii="宋体" w:hAnsi="宋体"/>
                <w:color w:val="000000"/>
                <w:sz w:val="24"/>
                <w:szCs w:val="24"/>
              </w:rPr>
            </w:pPr>
            <w:r>
              <w:rPr>
                <w:rFonts w:hint="eastAsia" w:ascii="宋体" w:hAnsi="宋体"/>
                <w:color w:val="000000"/>
                <w:sz w:val="24"/>
                <w:szCs w:val="24"/>
              </w:rPr>
              <w:t>投标人需针对本次项目提供完整的技术服务方案，方案中应包括但不限于：1）服务方案、2）企业制度、3）安全管理措施、4）应急情况处理等。</w:t>
            </w:r>
          </w:p>
          <w:p>
            <w:pPr>
              <w:numPr>
                <w:ilvl w:val="0"/>
                <w:numId w:val="1"/>
              </w:numPr>
              <w:adjustRightInd w:val="0"/>
              <w:snapToGrid w:val="0"/>
              <w:rPr>
                <w:rFonts w:hint="eastAsia" w:ascii="宋体" w:hAnsi="宋体"/>
                <w:color w:val="000000"/>
                <w:sz w:val="24"/>
                <w:szCs w:val="24"/>
              </w:rPr>
            </w:pPr>
            <w:r>
              <w:rPr>
                <w:rFonts w:hint="eastAsia" w:ascii="宋体" w:hAnsi="宋体"/>
                <w:color w:val="000000"/>
                <w:sz w:val="24"/>
                <w:szCs w:val="24"/>
              </w:rPr>
              <w:t>方案阐述详细，内容完善合理，可行性强，得10分。</w:t>
            </w:r>
          </w:p>
          <w:p>
            <w:pPr>
              <w:numPr>
                <w:ilvl w:val="0"/>
                <w:numId w:val="1"/>
              </w:numPr>
              <w:adjustRightInd w:val="0"/>
              <w:snapToGrid w:val="0"/>
              <w:rPr>
                <w:rFonts w:hint="eastAsia" w:ascii="宋体" w:hAnsi="宋体"/>
                <w:color w:val="000000"/>
                <w:sz w:val="24"/>
                <w:szCs w:val="24"/>
              </w:rPr>
            </w:pPr>
            <w:r>
              <w:rPr>
                <w:rFonts w:hint="eastAsia" w:ascii="宋体" w:hAnsi="宋体"/>
                <w:color w:val="000000"/>
                <w:sz w:val="24"/>
                <w:szCs w:val="24"/>
              </w:rPr>
              <w:t>方案阐述完整，内容全面，具有可行性，得7分。</w:t>
            </w:r>
          </w:p>
          <w:p>
            <w:pPr>
              <w:numPr>
                <w:ilvl w:val="0"/>
                <w:numId w:val="1"/>
              </w:numPr>
              <w:adjustRightInd w:val="0"/>
              <w:snapToGrid w:val="0"/>
              <w:rPr>
                <w:rFonts w:hint="eastAsia" w:ascii="宋体" w:hAnsi="宋体"/>
                <w:color w:val="000000"/>
                <w:sz w:val="24"/>
                <w:szCs w:val="24"/>
              </w:rPr>
            </w:pPr>
            <w:r>
              <w:rPr>
                <w:rFonts w:hint="eastAsia" w:ascii="宋体" w:hAnsi="宋体"/>
                <w:color w:val="000000"/>
                <w:sz w:val="24"/>
                <w:szCs w:val="24"/>
              </w:rPr>
              <w:t>方案有缺项（＜2项），内容简单或缺乏合理性，部分可行，得4分。</w:t>
            </w:r>
          </w:p>
          <w:p>
            <w:pPr>
              <w:numPr>
                <w:ilvl w:val="0"/>
                <w:numId w:val="1"/>
              </w:numPr>
              <w:adjustRightInd w:val="0"/>
              <w:snapToGrid w:val="0"/>
              <w:rPr>
                <w:rFonts w:hint="eastAsia" w:ascii="宋体" w:hAnsi="宋体"/>
                <w:color w:val="000000"/>
                <w:sz w:val="24"/>
                <w:szCs w:val="24"/>
              </w:rPr>
            </w:pPr>
            <w:r>
              <w:rPr>
                <w:rFonts w:hint="eastAsia" w:ascii="宋体" w:hAnsi="宋体"/>
                <w:color w:val="000000"/>
                <w:sz w:val="24"/>
                <w:szCs w:val="24"/>
              </w:rPr>
              <w:t>方案有缺项（≥2项），内容简单或缺乏合理性，不具有可行性，得1分。</w:t>
            </w:r>
          </w:p>
          <w:p>
            <w:pPr>
              <w:numPr>
                <w:ilvl w:val="0"/>
                <w:numId w:val="1"/>
              </w:numPr>
              <w:adjustRightInd w:val="0"/>
              <w:snapToGrid w:val="0"/>
              <w:rPr>
                <w:rFonts w:hint="eastAsia" w:ascii="宋体" w:hAnsi="宋体"/>
                <w:color w:val="000000"/>
                <w:sz w:val="24"/>
                <w:szCs w:val="24"/>
              </w:rPr>
            </w:pPr>
            <w:r>
              <w:rPr>
                <w:rFonts w:hint="eastAsia" w:ascii="宋体" w:hAnsi="宋体"/>
                <w:color w:val="000000"/>
                <w:sz w:val="24"/>
                <w:szCs w:val="24"/>
              </w:rPr>
              <w:t>未提供，得0分。</w:t>
            </w:r>
          </w:p>
          <w:p>
            <w:pPr>
              <w:adjustRightInd w:val="0"/>
              <w:snapToGrid w:val="0"/>
              <w:rPr>
                <w:rFonts w:ascii="宋体" w:hAnsi="宋体"/>
                <w:color w:val="000000"/>
                <w:sz w:val="24"/>
                <w:szCs w:val="24"/>
              </w:rPr>
            </w:pPr>
            <w:r>
              <w:rPr>
                <w:rFonts w:hint="eastAsia" w:ascii="宋体" w:hAnsi="宋体"/>
                <w:color w:val="000000"/>
                <w:sz w:val="24"/>
                <w:szCs w:val="24"/>
              </w:rPr>
              <w:t>技术服务方案1）-4）项分别按以上标准进行评审，本项最高得40分。</w:t>
            </w:r>
          </w:p>
        </w:tc>
        <w:tc>
          <w:tcPr>
            <w:tcW w:w="1172"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5</w:t>
            </w:r>
          </w:p>
        </w:tc>
        <w:tc>
          <w:tcPr>
            <w:tcW w:w="17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sz w:val="24"/>
                <w:szCs w:val="24"/>
              </w:rPr>
            </w:pPr>
            <w:r>
              <w:rPr>
                <w:rFonts w:hint="eastAsia" w:ascii="宋体" w:hAnsi="宋体"/>
                <w:sz w:val="24"/>
                <w:szCs w:val="24"/>
              </w:rPr>
              <w:t>培训</w:t>
            </w:r>
          </w:p>
        </w:tc>
        <w:tc>
          <w:tcPr>
            <w:tcW w:w="5221" w:type="dxa"/>
            <w:gridSpan w:val="2"/>
            <w:tcBorders>
              <w:top w:val="single" w:color="auto" w:sz="4" w:space="0"/>
              <w:left w:val="nil"/>
              <w:bottom w:val="single" w:color="auto" w:sz="4" w:space="0"/>
              <w:right w:val="single" w:color="auto" w:sz="4" w:space="0"/>
            </w:tcBorders>
            <w:vAlign w:val="center"/>
          </w:tcPr>
          <w:p>
            <w:pPr>
              <w:spacing w:line="280" w:lineRule="exact"/>
              <w:rPr>
                <w:rFonts w:ascii="宋体" w:hAnsi="宋体"/>
                <w:sz w:val="24"/>
                <w:szCs w:val="24"/>
              </w:rPr>
            </w:pPr>
            <w:r>
              <w:rPr>
                <w:rFonts w:hint="eastAsia" w:ascii="宋体" w:hAnsi="宋体"/>
                <w:sz w:val="24"/>
                <w:szCs w:val="24"/>
              </w:rPr>
              <w:t>响应人针对论证要求，编制培训方案，包含但不限于：培训内容、培训方式及计划等。培训方案完善、可行，且完全满足招标文件要求得</w:t>
            </w:r>
            <w:r>
              <w:rPr>
                <w:rFonts w:hint="eastAsia" w:ascii="宋体" w:hAnsi="宋体"/>
                <w:sz w:val="24"/>
                <w:szCs w:val="24"/>
                <w:lang w:val="en-US" w:eastAsia="zh-CN"/>
              </w:rPr>
              <w:t>10</w:t>
            </w:r>
            <w:r>
              <w:rPr>
                <w:rFonts w:hint="eastAsia" w:ascii="宋体" w:hAnsi="宋体"/>
                <w:sz w:val="24"/>
                <w:szCs w:val="24"/>
              </w:rPr>
              <w:t>分；方案完整，具有一定可行性得</w:t>
            </w:r>
            <w:r>
              <w:rPr>
                <w:rFonts w:hint="eastAsia" w:ascii="宋体" w:hAnsi="宋体"/>
                <w:sz w:val="24"/>
                <w:szCs w:val="24"/>
                <w:lang w:val="en-US" w:eastAsia="zh-CN"/>
              </w:rPr>
              <w:t>5</w:t>
            </w:r>
            <w:r>
              <w:rPr>
                <w:rFonts w:hint="eastAsia" w:ascii="宋体" w:hAnsi="宋体"/>
                <w:sz w:val="24"/>
                <w:szCs w:val="24"/>
              </w:rPr>
              <w:t>分；否则得0分。</w:t>
            </w:r>
          </w:p>
        </w:tc>
        <w:tc>
          <w:tcPr>
            <w:tcW w:w="1172"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6</w:t>
            </w:r>
          </w:p>
        </w:tc>
        <w:tc>
          <w:tcPr>
            <w:tcW w:w="17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sz w:val="24"/>
                <w:szCs w:val="24"/>
              </w:rPr>
            </w:pPr>
            <w:bookmarkStart w:id="0" w:name="OLE_LINK40"/>
            <w:r>
              <w:rPr>
                <w:rFonts w:hint="eastAsia" w:ascii="宋体" w:hAnsi="宋体"/>
                <w:color w:val="000000"/>
                <w:sz w:val="24"/>
                <w:szCs w:val="24"/>
              </w:rPr>
              <w:t>报价</w:t>
            </w:r>
            <w:bookmarkEnd w:id="0"/>
          </w:p>
        </w:tc>
        <w:tc>
          <w:tcPr>
            <w:tcW w:w="5221" w:type="dxa"/>
            <w:gridSpan w:val="2"/>
            <w:tcBorders>
              <w:top w:val="single" w:color="auto" w:sz="4" w:space="0"/>
              <w:left w:val="nil"/>
              <w:bottom w:val="single" w:color="auto" w:sz="4" w:space="0"/>
              <w:right w:val="single" w:color="auto" w:sz="4" w:space="0"/>
            </w:tcBorders>
            <w:vAlign w:val="center"/>
          </w:tcPr>
          <w:p>
            <w:pPr>
              <w:adjustRightInd w:val="0"/>
              <w:snapToGrid w:val="0"/>
              <w:rPr>
                <w:rFonts w:ascii="宋体" w:hAnsi="宋体"/>
                <w:color w:val="000000"/>
                <w:sz w:val="24"/>
                <w:szCs w:val="24"/>
              </w:rPr>
            </w:pPr>
            <w:r>
              <w:rPr>
                <w:rFonts w:hint="eastAsia" w:ascii="宋体" w:hAnsi="宋体"/>
                <w:color w:val="000000"/>
                <w:sz w:val="24"/>
                <w:szCs w:val="24"/>
              </w:rPr>
              <w:t>满足采购文件实质性要求且最终价格最低的报价为评审基准价，其价格为满分。</w:t>
            </w:r>
          </w:p>
          <w:p>
            <w:pPr>
              <w:spacing w:line="280" w:lineRule="exact"/>
              <w:rPr>
                <w:rFonts w:ascii="宋体" w:hAnsi="宋体"/>
                <w:sz w:val="24"/>
                <w:szCs w:val="24"/>
              </w:rPr>
            </w:pPr>
            <w:r>
              <w:rPr>
                <w:rFonts w:hint="eastAsia" w:ascii="宋体" w:hAnsi="宋体"/>
                <w:color w:val="000000"/>
                <w:sz w:val="24"/>
                <w:szCs w:val="24"/>
              </w:rPr>
              <w:t>最终报价得分 =（评审基准价/最终报价）×20，报价得分保留到小数点后2位。</w:t>
            </w:r>
          </w:p>
        </w:tc>
        <w:tc>
          <w:tcPr>
            <w:tcW w:w="1172"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945"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000000"/>
                <w:sz w:val="24"/>
                <w:szCs w:val="24"/>
              </w:rPr>
            </w:pPr>
            <w:r>
              <w:rPr>
                <w:rFonts w:hint="eastAsia" w:ascii="宋体" w:hAnsi="宋体"/>
                <w:color w:val="000000"/>
                <w:sz w:val="24"/>
                <w:szCs w:val="24"/>
              </w:rPr>
              <w:t>合计得分:100分</w:t>
            </w: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2485B"/>
    <w:multiLevelType w:val="multilevel"/>
    <w:tmpl w:val="3462485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4687D"/>
    <w:rsid w:val="004A3904"/>
    <w:rsid w:val="0084687D"/>
    <w:rsid w:val="0092614B"/>
    <w:rsid w:val="00DB5326"/>
    <w:rsid w:val="00E94215"/>
    <w:rsid w:val="00F05B2C"/>
    <w:rsid w:val="57F75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8"/>
    <w:semiHidden/>
    <w:unhideWhenUsed/>
    <w:uiPriority w:val="99"/>
    <w:pPr>
      <w:jc w:val="left"/>
    </w:pPr>
  </w:style>
  <w:style w:type="paragraph" w:styleId="3">
    <w:name w:val="Balloon Text"/>
    <w:basedOn w:val="1"/>
    <w:link w:val="10"/>
    <w:semiHidden/>
    <w:unhideWhenUsed/>
    <w:uiPriority w:val="99"/>
    <w:rPr>
      <w:sz w:val="18"/>
      <w:szCs w:val="18"/>
    </w:rPr>
  </w:style>
  <w:style w:type="paragraph" w:styleId="4">
    <w:name w:val="annotation subject"/>
    <w:basedOn w:val="2"/>
    <w:next w:val="2"/>
    <w:link w:val="9"/>
    <w:semiHidden/>
    <w:unhideWhenUsed/>
    <w:qFormat/>
    <w:uiPriority w:val="99"/>
    <w:rPr>
      <w:b/>
      <w:bCs/>
    </w:rPr>
  </w:style>
  <w:style w:type="character" w:styleId="7">
    <w:name w:val="annotation reference"/>
    <w:basedOn w:val="6"/>
    <w:semiHidden/>
    <w:unhideWhenUsed/>
    <w:uiPriority w:val="99"/>
    <w:rPr>
      <w:sz w:val="21"/>
      <w:szCs w:val="21"/>
    </w:rPr>
  </w:style>
  <w:style w:type="character" w:customStyle="1" w:styleId="8">
    <w:name w:val="批注文字 Char"/>
    <w:basedOn w:val="6"/>
    <w:link w:val="2"/>
    <w:semiHidden/>
    <w:uiPriority w:val="99"/>
    <w:rPr>
      <w:rFonts w:ascii="Times New Roman" w:hAnsi="Times New Roman" w:eastAsia="宋体" w:cs="Times New Roman"/>
      <w:szCs w:val="21"/>
    </w:rPr>
  </w:style>
  <w:style w:type="character" w:customStyle="1" w:styleId="9">
    <w:name w:val="批注主题 Char"/>
    <w:basedOn w:val="8"/>
    <w:link w:val="4"/>
    <w:semiHidden/>
    <w:qFormat/>
    <w:uiPriority w:val="99"/>
    <w:rPr>
      <w:b/>
      <w:bCs/>
    </w:rPr>
  </w:style>
  <w:style w:type="character" w:customStyle="1" w:styleId="10">
    <w:name w:val="批注框文本 Char"/>
    <w:basedOn w:val="6"/>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148</Words>
  <Characters>845</Characters>
  <Lines>7</Lines>
  <Paragraphs>1</Paragraphs>
  <TotalTime>38</TotalTime>
  <ScaleCrop>false</ScaleCrop>
  <LinksUpToDate>false</LinksUpToDate>
  <CharactersWithSpaces>992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2022-03-29T07:40:00Z</dcterms:created>
  <dc:creator>zhbz</dc:creator>
  <cp:lastModifiedBy>Acer</cp:lastModifiedBy>
  <dcterms:modified xsi:type="dcterms:W3CDTF">2022-04-24T08:37:27Z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