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60" w:lineRule="exact"/>
        <w:jc w:val="center"/>
        <w:rPr>
          <w:rFonts w:hint="eastAsia" w:ascii="宋体" w:hAnsi="宋体"/>
          <w:b/>
          <w:sz w:val="36"/>
          <w:szCs w:val="36"/>
        </w:rPr>
      </w:pPr>
      <w:r>
        <w:rPr>
          <w:rFonts w:hint="eastAsia" w:ascii="宋体" w:hAnsi="宋体"/>
          <w:b/>
          <w:sz w:val="36"/>
          <w:szCs w:val="36"/>
        </w:rPr>
        <w:t>评标细则</w:t>
      </w:r>
      <w:bookmarkStart w:id="0" w:name="_GoBack"/>
      <w:bookmarkEnd w:id="0"/>
    </w:p>
    <w:p>
      <w:pPr>
        <w:spacing w:line="520" w:lineRule="exact"/>
        <w:jc w:val="left"/>
        <w:rPr>
          <w:rFonts w:hint="eastAsia" w:ascii="宋体" w:hAnsi="宋体"/>
          <w:b/>
          <w:sz w:val="24"/>
          <w:szCs w:val="24"/>
        </w:rPr>
      </w:pPr>
      <w:r>
        <w:rPr>
          <w:rFonts w:hint="eastAsia" w:ascii="宋体" w:hAnsi="宋体"/>
          <w:b/>
          <w:sz w:val="24"/>
          <w:szCs w:val="24"/>
        </w:rPr>
        <w:t>一、总则</w:t>
      </w:r>
    </w:p>
    <w:p>
      <w:pPr>
        <w:spacing w:line="480" w:lineRule="exact"/>
        <w:ind w:firstLine="482"/>
        <w:rPr>
          <w:rFonts w:hint="eastAsia" w:ascii="宋体" w:hAnsi="宋体"/>
          <w:sz w:val="24"/>
          <w:szCs w:val="24"/>
        </w:rPr>
      </w:pPr>
      <w:r>
        <w:rPr>
          <w:rFonts w:hint="eastAsia" w:ascii="宋体" w:hAnsi="宋体"/>
          <w:sz w:val="24"/>
          <w:szCs w:val="24"/>
        </w:rPr>
        <w:t>评标委员会将仅对在实质上响应论证要求的论证文件进行评价和比较。采用综合评分法，评分按商务、技术和价格三部分分别打分的方式进行。其中商务和技术分满分为70分，价格分满分为30分。响应人的论证综合评分为上述各项得分之和，满分为100分。</w:t>
      </w:r>
    </w:p>
    <w:p>
      <w:pPr>
        <w:spacing w:line="520" w:lineRule="exact"/>
        <w:jc w:val="left"/>
        <w:rPr>
          <w:rFonts w:hint="eastAsia" w:ascii="宋体" w:hAnsi="宋体"/>
          <w:sz w:val="24"/>
          <w:szCs w:val="24"/>
        </w:rPr>
      </w:pPr>
      <w:r>
        <w:rPr>
          <w:rFonts w:hint="eastAsia" w:ascii="宋体" w:hAnsi="宋体"/>
          <w:b/>
          <w:sz w:val="24"/>
          <w:szCs w:val="24"/>
        </w:rPr>
        <w:t>二、评分细则</w:t>
      </w:r>
    </w:p>
    <w:tbl>
      <w:tblPr>
        <w:tblStyle w:val="9"/>
        <w:tblW w:w="954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1622"/>
        <w:gridCol w:w="2182"/>
        <w:gridCol w:w="775"/>
        <w:gridCol w:w="496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622" w:type="dxa"/>
            <w:noWrap w:val="0"/>
            <w:vAlign w:val="center"/>
          </w:tcPr>
          <w:p>
            <w:pPr>
              <w:spacing w:line="360" w:lineRule="auto"/>
              <w:jc w:val="center"/>
              <w:rPr>
                <w:rFonts w:ascii="宋体" w:hAnsi="宋体"/>
                <w:b/>
                <w:sz w:val="24"/>
                <w:szCs w:val="24"/>
              </w:rPr>
            </w:pPr>
            <w:r>
              <w:rPr>
                <w:rFonts w:hint="eastAsia" w:ascii="宋体" w:hAnsi="宋体"/>
                <w:b/>
                <w:sz w:val="24"/>
                <w:szCs w:val="24"/>
              </w:rPr>
              <w:t>评分类别</w:t>
            </w:r>
          </w:p>
        </w:tc>
        <w:tc>
          <w:tcPr>
            <w:tcW w:w="2182" w:type="dxa"/>
            <w:noWrap w:val="0"/>
            <w:vAlign w:val="center"/>
          </w:tcPr>
          <w:p>
            <w:pPr>
              <w:spacing w:line="360" w:lineRule="auto"/>
              <w:jc w:val="center"/>
              <w:rPr>
                <w:rFonts w:ascii="宋体" w:hAnsi="宋体"/>
                <w:b/>
                <w:sz w:val="24"/>
                <w:szCs w:val="24"/>
              </w:rPr>
            </w:pPr>
            <w:r>
              <w:rPr>
                <w:rFonts w:hint="eastAsia" w:ascii="宋体" w:hAnsi="宋体"/>
                <w:b/>
                <w:sz w:val="24"/>
                <w:szCs w:val="24"/>
              </w:rPr>
              <w:t>评价名称</w:t>
            </w:r>
          </w:p>
        </w:tc>
        <w:tc>
          <w:tcPr>
            <w:tcW w:w="775" w:type="dxa"/>
            <w:noWrap w:val="0"/>
            <w:vAlign w:val="center"/>
          </w:tcPr>
          <w:p>
            <w:pPr>
              <w:spacing w:line="360" w:lineRule="auto"/>
              <w:jc w:val="center"/>
              <w:rPr>
                <w:rFonts w:ascii="宋体" w:hAnsi="宋体"/>
                <w:b/>
                <w:sz w:val="24"/>
                <w:szCs w:val="24"/>
              </w:rPr>
            </w:pPr>
            <w:r>
              <w:rPr>
                <w:rFonts w:hint="eastAsia" w:ascii="宋体" w:hAnsi="宋体"/>
                <w:b/>
                <w:sz w:val="24"/>
                <w:szCs w:val="24"/>
              </w:rPr>
              <w:t>分值</w:t>
            </w:r>
          </w:p>
        </w:tc>
        <w:tc>
          <w:tcPr>
            <w:tcW w:w="4969" w:type="dxa"/>
            <w:noWrap w:val="0"/>
            <w:vAlign w:val="center"/>
          </w:tcPr>
          <w:p>
            <w:pPr>
              <w:spacing w:line="360" w:lineRule="auto"/>
              <w:jc w:val="center"/>
              <w:rPr>
                <w:rFonts w:ascii="宋体" w:hAnsi="宋体"/>
                <w:b/>
                <w:sz w:val="24"/>
                <w:szCs w:val="24"/>
              </w:rPr>
            </w:pPr>
            <w:r>
              <w:rPr>
                <w:rFonts w:hint="eastAsia" w:ascii="宋体" w:hAnsi="宋体"/>
                <w:b/>
                <w:sz w:val="24"/>
                <w:szCs w:val="24"/>
              </w:rPr>
              <w:t>说</w:t>
            </w:r>
            <w:r>
              <w:rPr>
                <w:rFonts w:ascii="宋体" w:hAnsi="宋体"/>
                <w:b/>
                <w:sz w:val="24"/>
                <w:szCs w:val="24"/>
              </w:rPr>
              <w:t xml:space="preserve">      </w:t>
            </w:r>
            <w:r>
              <w:rPr>
                <w:rFonts w:hint="eastAsia" w:ascii="宋体" w:hAnsi="宋体"/>
                <w:b/>
                <w:sz w:val="24"/>
                <w:szCs w:val="24"/>
              </w:rPr>
              <w:t>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30" w:hRule="exact"/>
          <w:jc w:val="center"/>
        </w:trPr>
        <w:tc>
          <w:tcPr>
            <w:tcW w:w="1622" w:type="dxa"/>
            <w:vMerge w:val="restart"/>
            <w:noWrap w:val="0"/>
            <w:vAlign w:val="center"/>
          </w:tcPr>
          <w:p>
            <w:pPr>
              <w:spacing w:line="280" w:lineRule="exact"/>
              <w:jc w:val="center"/>
              <w:rPr>
                <w:rFonts w:hint="eastAsia" w:ascii="宋体" w:hAnsi="宋体"/>
                <w:sz w:val="24"/>
                <w:szCs w:val="24"/>
              </w:rPr>
            </w:pPr>
            <w:r>
              <w:rPr>
                <w:rFonts w:hint="eastAsia" w:ascii="宋体" w:hAnsi="宋体"/>
                <w:sz w:val="24"/>
                <w:szCs w:val="24"/>
              </w:rPr>
              <w:t>商务部分</w:t>
            </w:r>
          </w:p>
          <w:p>
            <w:pPr>
              <w:spacing w:line="280" w:lineRule="exact"/>
              <w:jc w:val="center"/>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分）</w:t>
            </w:r>
          </w:p>
        </w:tc>
        <w:tc>
          <w:tcPr>
            <w:tcW w:w="2182" w:type="dxa"/>
            <w:noWrap w:val="0"/>
            <w:vAlign w:val="center"/>
          </w:tcPr>
          <w:p>
            <w:pPr>
              <w:rPr>
                <w:rFonts w:ascii="宋体" w:hAnsi="宋体"/>
                <w:sz w:val="24"/>
                <w:szCs w:val="24"/>
              </w:rPr>
            </w:pPr>
            <w:r>
              <w:rPr>
                <w:rFonts w:hint="eastAsia" w:ascii="宋体" w:hAnsi="宋体"/>
                <w:sz w:val="24"/>
                <w:szCs w:val="24"/>
              </w:rPr>
              <w:t>同类产品实施业绩</w:t>
            </w:r>
          </w:p>
        </w:tc>
        <w:tc>
          <w:tcPr>
            <w:tcW w:w="775" w:type="dxa"/>
            <w:noWrap w:val="0"/>
            <w:vAlign w:val="center"/>
          </w:tcPr>
          <w:p>
            <w:pPr>
              <w:jc w:val="center"/>
              <w:rPr>
                <w:rFonts w:ascii="宋体" w:hAnsi="宋体"/>
                <w:sz w:val="24"/>
                <w:szCs w:val="24"/>
              </w:rPr>
            </w:pPr>
            <w:r>
              <w:rPr>
                <w:rFonts w:hint="eastAsia" w:ascii="宋体" w:hAnsi="宋体"/>
                <w:sz w:val="24"/>
                <w:szCs w:val="24"/>
              </w:rPr>
              <w:t>10</w:t>
            </w:r>
          </w:p>
        </w:tc>
        <w:tc>
          <w:tcPr>
            <w:tcW w:w="4969" w:type="dxa"/>
            <w:noWrap w:val="0"/>
            <w:vAlign w:val="center"/>
          </w:tcPr>
          <w:p>
            <w:pPr>
              <w:rPr>
                <w:rFonts w:hint="eastAsia" w:ascii="宋体" w:hAnsi="宋体"/>
                <w:sz w:val="24"/>
                <w:szCs w:val="24"/>
              </w:rPr>
            </w:pPr>
            <w:r>
              <w:rPr>
                <w:rFonts w:hint="eastAsia" w:ascii="宋体" w:hAnsi="宋体"/>
                <w:sz w:val="24"/>
                <w:szCs w:val="24"/>
              </w:rPr>
              <w:t>2</w:t>
            </w:r>
            <w:r>
              <w:rPr>
                <w:rFonts w:ascii="宋体" w:hAnsi="宋体"/>
                <w:sz w:val="24"/>
                <w:szCs w:val="24"/>
              </w:rPr>
              <w:t>019年</w:t>
            </w:r>
            <w:r>
              <w:rPr>
                <w:rFonts w:hint="eastAsia" w:ascii="宋体" w:hAnsi="宋体"/>
                <w:sz w:val="24"/>
                <w:szCs w:val="24"/>
              </w:rPr>
              <w:t>1月</w:t>
            </w:r>
            <w:r>
              <w:rPr>
                <w:rFonts w:ascii="宋体" w:hAnsi="宋体"/>
                <w:sz w:val="24"/>
                <w:szCs w:val="24"/>
              </w:rPr>
              <w:t>至今</w:t>
            </w:r>
            <w:r>
              <w:rPr>
                <w:rFonts w:hint="eastAsia" w:ascii="宋体" w:hAnsi="宋体"/>
                <w:sz w:val="24"/>
                <w:szCs w:val="24"/>
              </w:rPr>
              <w:t>，同类产品实施案例，每提供1个得1分</w:t>
            </w:r>
            <w:r>
              <w:rPr>
                <w:rFonts w:ascii="宋体" w:hAnsi="宋体"/>
                <w:sz w:val="24"/>
                <w:szCs w:val="24"/>
              </w:rPr>
              <w:t>,最高得</w:t>
            </w:r>
            <w:r>
              <w:rPr>
                <w:rFonts w:hint="eastAsia" w:ascii="宋体" w:hAnsi="宋体"/>
                <w:sz w:val="24"/>
                <w:szCs w:val="24"/>
              </w:rPr>
              <w:t>10分。</w:t>
            </w:r>
          </w:p>
          <w:p>
            <w:pPr>
              <w:rPr>
                <w:rFonts w:hint="eastAsia" w:ascii="宋体" w:hAnsi="宋体"/>
                <w:sz w:val="24"/>
                <w:szCs w:val="24"/>
              </w:rPr>
            </w:pPr>
            <w:r>
              <w:rPr>
                <w:rFonts w:ascii="宋体" w:hAnsi="宋体"/>
                <w:sz w:val="24"/>
                <w:szCs w:val="24"/>
              </w:rPr>
              <w:t>注：以上项目须提供合同以下相关部分复印件，包括首页、金额页、盖章页、显示项目名称</w:t>
            </w:r>
            <w:r>
              <w:rPr>
                <w:rFonts w:hint="eastAsia" w:ascii="宋体" w:hAnsi="宋体"/>
                <w:sz w:val="24"/>
                <w:szCs w:val="24"/>
              </w:rPr>
              <w:t>及上述内容</w:t>
            </w:r>
            <w:r>
              <w:rPr>
                <w:rFonts w:ascii="宋体" w:hAnsi="宋体"/>
                <w:sz w:val="24"/>
                <w:szCs w:val="24"/>
              </w:rPr>
              <w:t>的相关页。</w:t>
            </w:r>
            <w:r>
              <w:rPr>
                <w:rFonts w:hint="eastAsia" w:ascii="宋体" w:hAnsi="宋体"/>
                <w:sz w:val="24"/>
                <w:szCs w:val="24"/>
              </w:rPr>
              <w:t>未提供则不得分。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910" w:hRule="exact"/>
          <w:jc w:val="center"/>
        </w:trPr>
        <w:tc>
          <w:tcPr>
            <w:tcW w:w="1622" w:type="dxa"/>
            <w:vMerge w:val="continue"/>
            <w:noWrap w:val="0"/>
            <w:vAlign w:val="center"/>
          </w:tcPr>
          <w:p>
            <w:pPr>
              <w:spacing w:line="280" w:lineRule="exact"/>
              <w:jc w:val="center"/>
              <w:rPr>
                <w:rFonts w:hint="eastAsia" w:ascii="宋体" w:hAnsi="宋体"/>
                <w:sz w:val="24"/>
                <w:szCs w:val="24"/>
              </w:rPr>
            </w:pPr>
          </w:p>
        </w:tc>
        <w:tc>
          <w:tcPr>
            <w:tcW w:w="2182" w:type="dxa"/>
            <w:noWrap w:val="0"/>
            <w:vAlign w:val="center"/>
          </w:tcPr>
          <w:p>
            <w:pPr>
              <w:jc w:val="center"/>
              <w:rPr>
                <w:rFonts w:hint="eastAsia" w:ascii="宋体" w:hAnsi="宋体"/>
                <w:sz w:val="24"/>
                <w:szCs w:val="24"/>
              </w:rPr>
            </w:pPr>
            <w:r>
              <w:rPr>
                <w:rFonts w:hint="eastAsia" w:ascii="宋体" w:hAnsi="宋体"/>
                <w:sz w:val="24"/>
                <w:szCs w:val="24"/>
              </w:rPr>
              <w:t>证书</w:t>
            </w:r>
          </w:p>
        </w:tc>
        <w:tc>
          <w:tcPr>
            <w:tcW w:w="775" w:type="dxa"/>
            <w:noWrap w:val="0"/>
            <w:vAlign w:val="center"/>
          </w:tcPr>
          <w:p>
            <w:pPr>
              <w:jc w:val="center"/>
              <w:rPr>
                <w:rFonts w:ascii="宋体" w:hAnsi="宋体"/>
                <w:sz w:val="24"/>
                <w:szCs w:val="24"/>
              </w:rPr>
            </w:pPr>
            <w:r>
              <w:rPr>
                <w:rFonts w:ascii="宋体" w:hAnsi="宋体"/>
                <w:sz w:val="24"/>
                <w:szCs w:val="24"/>
              </w:rPr>
              <w:t>3</w:t>
            </w:r>
          </w:p>
        </w:tc>
        <w:tc>
          <w:tcPr>
            <w:tcW w:w="4969" w:type="dxa"/>
            <w:noWrap w:val="0"/>
            <w:vAlign w:val="center"/>
          </w:tcPr>
          <w:p>
            <w:pPr>
              <w:widowControl/>
              <w:rPr>
                <w:rFonts w:hint="eastAsia" w:ascii="宋体" w:hAnsi="宋体"/>
                <w:sz w:val="24"/>
                <w:szCs w:val="24"/>
              </w:rPr>
            </w:pPr>
            <w:r>
              <w:rPr>
                <w:rFonts w:hint="eastAsia" w:ascii="宋体" w:hAnsi="宋体"/>
                <w:sz w:val="24"/>
                <w:szCs w:val="24"/>
              </w:rPr>
              <w:t>具有合格有效的ISO 9001质量认证证书、ISO 14001环境管理体系认证证书、OHSAS 18001职业健康安全管理体系认证证书全部满足得</w:t>
            </w:r>
            <w:r>
              <w:rPr>
                <w:rFonts w:ascii="宋体" w:hAnsi="宋体"/>
                <w:sz w:val="24"/>
                <w:szCs w:val="24"/>
              </w:rPr>
              <w:t>3</w:t>
            </w:r>
            <w:r>
              <w:rPr>
                <w:rFonts w:hint="eastAsia" w:ascii="宋体" w:hAnsi="宋体"/>
                <w:sz w:val="24"/>
                <w:szCs w:val="24"/>
              </w:rPr>
              <w:t>分，缺一项减1分。注：以上资质证书复印件加盖响应人公章，并在有效期内。</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4557" w:hRule="exact"/>
          <w:jc w:val="center"/>
        </w:trPr>
        <w:tc>
          <w:tcPr>
            <w:tcW w:w="1622" w:type="dxa"/>
            <w:vMerge w:val="restart"/>
            <w:noWrap w:val="0"/>
            <w:vAlign w:val="center"/>
          </w:tcPr>
          <w:p>
            <w:pPr>
              <w:spacing w:line="280" w:lineRule="exact"/>
              <w:jc w:val="center"/>
              <w:rPr>
                <w:rFonts w:hint="eastAsia" w:ascii="宋体" w:hAnsi="宋体"/>
                <w:sz w:val="24"/>
                <w:szCs w:val="24"/>
              </w:rPr>
            </w:pPr>
            <w:r>
              <w:rPr>
                <w:rFonts w:hint="eastAsia" w:ascii="宋体" w:hAnsi="宋体"/>
                <w:sz w:val="24"/>
                <w:szCs w:val="24"/>
              </w:rPr>
              <w:t>技术部分</w:t>
            </w:r>
          </w:p>
          <w:p>
            <w:pPr>
              <w:spacing w:line="280" w:lineRule="exact"/>
              <w:jc w:val="center"/>
              <w:rPr>
                <w:rFonts w:hint="eastAsia" w:ascii="宋体" w:hAnsi="宋体"/>
                <w:sz w:val="24"/>
                <w:szCs w:val="24"/>
              </w:rPr>
            </w:pPr>
            <w:r>
              <w:rPr>
                <w:rFonts w:hint="eastAsia" w:ascii="宋体" w:hAnsi="宋体"/>
                <w:sz w:val="24"/>
                <w:szCs w:val="24"/>
              </w:rPr>
              <w:t>（5</w:t>
            </w:r>
            <w:r>
              <w:rPr>
                <w:rFonts w:ascii="宋体" w:hAnsi="宋体"/>
                <w:sz w:val="24"/>
                <w:szCs w:val="24"/>
              </w:rPr>
              <w:t>7</w:t>
            </w:r>
            <w:r>
              <w:rPr>
                <w:rFonts w:hint="eastAsia" w:ascii="宋体" w:hAnsi="宋体"/>
                <w:sz w:val="24"/>
                <w:szCs w:val="24"/>
              </w:rPr>
              <w:t>分）</w:t>
            </w:r>
          </w:p>
        </w:tc>
        <w:tc>
          <w:tcPr>
            <w:tcW w:w="2182" w:type="dxa"/>
            <w:noWrap w:val="0"/>
            <w:vAlign w:val="center"/>
          </w:tcPr>
          <w:p>
            <w:pPr>
              <w:adjustRightInd w:val="0"/>
              <w:snapToGrid w:val="0"/>
              <w:jc w:val="left"/>
              <w:rPr>
                <w:rFonts w:hint="eastAsia" w:ascii="宋体" w:hAnsi="宋体"/>
                <w:sz w:val="24"/>
                <w:szCs w:val="24"/>
              </w:rPr>
            </w:pPr>
            <w:r>
              <w:rPr>
                <w:rFonts w:hint="eastAsia" w:ascii="宋体" w:hAnsi="宋体"/>
                <w:sz w:val="24"/>
                <w:szCs w:val="24"/>
              </w:rPr>
              <w:t>对需求书中“三、具体技术要求”响应情况</w:t>
            </w:r>
          </w:p>
        </w:tc>
        <w:tc>
          <w:tcPr>
            <w:tcW w:w="775" w:type="dxa"/>
            <w:noWrap w:val="0"/>
            <w:vAlign w:val="center"/>
          </w:tcPr>
          <w:p>
            <w:pPr>
              <w:adjustRightInd w:val="0"/>
              <w:snapToGrid w:val="0"/>
              <w:jc w:val="center"/>
              <w:rPr>
                <w:rFonts w:hint="eastAsia" w:ascii="宋体" w:hAnsi="宋体"/>
                <w:sz w:val="24"/>
                <w:szCs w:val="24"/>
              </w:rPr>
            </w:pPr>
            <w:r>
              <w:rPr>
                <w:rFonts w:ascii="宋体" w:hAnsi="宋体"/>
                <w:sz w:val="24"/>
                <w:szCs w:val="24"/>
              </w:rPr>
              <w:t>45</w:t>
            </w:r>
          </w:p>
        </w:tc>
        <w:tc>
          <w:tcPr>
            <w:tcW w:w="4969" w:type="dxa"/>
            <w:noWrap w:val="0"/>
            <w:vAlign w:val="center"/>
          </w:tcPr>
          <w:p>
            <w:pPr>
              <w:widowControl/>
              <w:jc w:val="left"/>
              <w:rPr>
                <w:rFonts w:hint="eastAsia" w:ascii="宋体" w:hAnsi="宋体"/>
                <w:b/>
                <w:sz w:val="24"/>
                <w:szCs w:val="24"/>
              </w:rPr>
            </w:pPr>
            <w:r>
              <w:rPr>
                <w:rFonts w:hint="eastAsia" w:ascii="宋体" w:hAnsi="宋体"/>
                <w:sz w:val="24"/>
                <w:szCs w:val="24"/>
              </w:rPr>
              <w:t>根据采购需求书“三、具体技术要求”进行打分，完全满足得</w:t>
            </w:r>
            <w:r>
              <w:rPr>
                <w:rFonts w:ascii="宋体" w:hAnsi="宋体"/>
                <w:sz w:val="24"/>
                <w:szCs w:val="24"/>
              </w:rPr>
              <w:t>45</w:t>
            </w:r>
            <w:r>
              <w:rPr>
                <w:rFonts w:hint="eastAsia" w:ascii="宋体" w:hAnsi="宋体"/>
                <w:sz w:val="24"/>
                <w:szCs w:val="24"/>
              </w:rPr>
              <w:t>分，在此基础上：</w:t>
            </w:r>
            <w:r>
              <w:rPr>
                <w:rFonts w:hint="eastAsia" w:ascii="宋体" w:hAnsi="宋体"/>
                <w:b/>
                <w:sz w:val="24"/>
                <w:szCs w:val="24"/>
              </w:rPr>
              <w:t xml:space="preserve"> </w:t>
            </w:r>
          </w:p>
          <w:p>
            <w:pPr>
              <w:widowControl/>
              <w:snapToGrid w:val="0"/>
              <w:rPr>
                <w:rFonts w:hint="eastAsia" w:ascii="宋体" w:hAnsi="宋体"/>
                <w:b/>
                <w:bCs/>
                <w:sz w:val="24"/>
                <w:szCs w:val="24"/>
              </w:rPr>
            </w:pPr>
            <w:r>
              <w:rPr>
                <w:rFonts w:hint="eastAsia" w:ascii="宋体" w:hAnsi="宋体"/>
                <w:b/>
                <w:bCs/>
                <w:sz w:val="24"/>
                <w:szCs w:val="24"/>
              </w:rPr>
              <w:t>标“#”为重要指标，标“★”为实质性响应，不满足将被视为无效投标。</w:t>
            </w:r>
          </w:p>
          <w:p>
            <w:pPr>
              <w:widowControl/>
              <w:snapToGrid w:val="0"/>
              <w:rPr>
                <w:rFonts w:hint="eastAsia" w:ascii="宋体" w:hAnsi="宋体"/>
                <w:b/>
                <w:bCs/>
                <w:sz w:val="24"/>
                <w:szCs w:val="24"/>
              </w:rPr>
            </w:pPr>
            <w:r>
              <w:rPr>
                <w:rFonts w:hint="eastAsia" w:ascii="宋体" w:hAnsi="宋体"/>
                <w:b/>
                <w:bCs/>
                <w:sz w:val="24"/>
                <w:szCs w:val="24"/>
              </w:rPr>
              <w:t>（</w:t>
            </w:r>
            <w:r>
              <w:rPr>
                <w:rFonts w:ascii="宋体" w:hAnsi="宋体"/>
                <w:b/>
                <w:bCs/>
                <w:sz w:val="24"/>
                <w:szCs w:val="24"/>
              </w:rPr>
              <w:t>1</w:t>
            </w:r>
            <w:r>
              <w:rPr>
                <w:rFonts w:hint="eastAsia" w:ascii="宋体" w:hAnsi="宋体"/>
                <w:b/>
                <w:bCs/>
                <w:sz w:val="24"/>
                <w:szCs w:val="24"/>
              </w:rPr>
              <w:t>）重要指标“#”共12项，每有一项指标负偏离扣2分；</w:t>
            </w:r>
          </w:p>
          <w:p>
            <w:pPr>
              <w:widowControl/>
              <w:jc w:val="left"/>
              <w:rPr>
                <w:rFonts w:ascii="宋体" w:hAnsi="宋体"/>
                <w:b/>
                <w:bCs/>
                <w:sz w:val="24"/>
                <w:szCs w:val="24"/>
              </w:rPr>
            </w:pPr>
            <w:r>
              <w:rPr>
                <w:rFonts w:hint="eastAsia" w:ascii="宋体" w:hAnsi="宋体"/>
                <w:b/>
                <w:bCs/>
                <w:sz w:val="24"/>
                <w:szCs w:val="24"/>
              </w:rPr>
              <w:t>（</w:t>
            </w:r>
            <w:r>
              <w:rPr>
                <w:rFonts w:ascii="宋体" w:hAnsi="宋体"/>
                <w:b/>
                <w:bCs/>
                <w:sz w:val="24"/>
                <w:szCs w:val="24"/>
              </w:rPr>
              <w:t>2</w:t>
            </w:r>
            <w:r>
              <w:rPr>
                <w:rFonts w:hint="eastAsia" w:ascii="宋体" w:hAnsi="宋体"/>
                <w:b/>
                <w:bCs/>
                <w:sz w:val="24"/>
                <w:szCs w:val="24"/>
              </w:rPr>
              <w:t>）其他指标每有一项负偏离扣</w:t>
            </w:r>
            <w:r>
              <w:rPr>
                <w:rFonts w:ascii="宋体" w:hAnsi="宋体"/>
                <w:b/>
                <w:bCs/>
                <w:sz w:val="24"/>
                <w:szCs w:val="24"/>
              </w:rPr>
              <w:t>1</w:t>
            </w:r>
            <w:r>
              <w:rPr>
                <w:rFonts w:hint="eastAsia" w:ascii="宋体" w:hAnsi="宋体"/>
                <w:b/>
                <w:bCs/>
                <w:sz w:val="24"/>
                <w:szCs w:val="24"/>
              </w:rPr>
              <w:t>分，扣完为止。</w:t>
            </w:r>
          </w:p>
          <w:p>
            <w:pPr>
              <w:widowControl/>
              <w:jc w:val="left"/>
              <w:rPr>
                <w:rFonts w:hint="eastAsia" w:ascii="宋体" w:hAnsi="宋体"/>
                <w:sz w:val="24"/>
                <w:szCs w:val="24"/>
              </w:rPr>
            </w:pPr>
            <w:r>
              <w:rPr>
                <w:rFonts w:hint="eastAsia" w:ascii="宋体" w:hAnsi="宋体"/>
                <w:sz w:val="24"/>
                <w:szCs w:val="24"/>
              </w:rPr>
              <w:t>注：一、对于标注了 “#”号的指标，应提供有效的支撑材料进行证明，否则不予认可。（支撑材料指公开发布的产品彩页、说明书，或加盖生产厂家公章的技术证明文件）</w:t>
            </w:r>
          </w:p>
          <w:p>
            <w:pPr>
              <w:adjustRightInd w:val="0"/>
              <w:snapToGrid w:val="0"/>
              <w:jc w:val="left"/>
              <w:rPr>
                <w:rFonts w:hint="eastAsia" w:ascii="宋体" w:hAnsi="宋体"/>
                <w:sz w:val="24"/>
                <w:szCs w:val="24"/>
              </w:rPr>
            </w:pPr>
            <w:r>
              <w:rPr>
                <w:rFonts w:ascii="宋体" w:hAnsi="宋体"/>
                <w:sz w:val="24"/>
                <w:szCs w:val="24"/>
              </w:rPr>
              <w:t>凡标有最低一级序号的指标项即为一项技术条款，无论是否隶属于上一级编号。</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696" w:hRule="exact"/>
          <w:jc w:val="center"/>
        </w:trPr>
        <w:tc>
          <w:tcPr>
            <w:tcW w:w="1622" w:type="dxa"/>
            <w:vMerge w:val="continue"/>
            <w:noWrap w:val="0"/>
            <w:vAlign w:val="center"/>
          </w:tcPr>
          <w:p>
            <w:pPr>
              <w:spacing w:line="280" w:lineRule="exact"/>
              <w:jc w:val="center"/>
              <w:rPr>
                <w:rFonts w:hint="eastAsia" w:ascii="宋体" w:hAnsi="宋体"/>
                <w:sz w:val="24"/>
                <w:szCs w:val="24"/>
              </w:rPr>
            </w:pPr>
          </w:p>
        </w:tc>
        <w:tc>
          <w:tcPr>
            <w:tcW w:w="2182" w:type="dxa"/>
            <w:noWrap w:val="0"/>
            <w:vAlign w:val="center"/>
          </w:tcPr>
          <w:p>
            <w:pPr>
              <w:adjustRightInd w:val="0"/>
              <w:snapToGrid w:val="0"/>
              <w:spacing w:line="360" w:lineRule="exact"/>
              <w:jc w:val="left"/>
              <w:rPr>
                <w:rFonts w:hint="eastAsia" w:ascii="宋体" w:hAnsi="宋体"/>
                <w:sz w:val="24"/>
                <w:szCs w:val="24"/>
              </w:rPr>
            </w:pPr>
            <w:r>
              <w:rPr>
                <w:rFonts w:hint="eastAsia" w:ascii="宋体" w:hAnsi="宋体"/>
                <w:sz w:val="24"/>
                <w:szCs w:val="24"/>
              </w:rPr>
              <w:t>实施方案及保障措施</w:t>
            </w:r>
          </w:p>
        </w:tc>
        <w:tc>
          <w:tcPr>
            <w:tcW w:w="775" w:type="dxa"/>
            <w:noWrap w:val="0"/>
            <w:vAlign w:val="center"/>
          </w:tcPr>
          <w:p>
            <w:pPr>
              <w:adjustRightInd w:val="0"/>
              <w:snapToGrid w:val="0"/>
              <w:spacing w:line="360" w:lineRule="exact"/>
              <w:jc w:val="center"/>
              <w:rPr>
                <w:rFonts w:ascii="宋体" w:hAnsi="宋体"/>
                <w:sz w:val="24"/>
                <w:szCs w:val="24"/>
              </w:rPr>
            </w:pPr>
            <w:r>
              <w:rPr>
                <w:rFonts w:ascii="宋体" w:hAnsi="宋体"/>
                <w:sz w:val="24"/>
                <w:szCs w:val="24"/>
              </w:rPr>
              <w:t>5</w:t>
            </w:r>
          </w:p>
        </w:tc>
        <w:tc>
          <w:tcPr>
            <w:tcW w:w="4969" w:type="dxa"/>
            <w:noWrap w:val="0"/>
            <w:vAlign w:val="center"/>
          </w:tcPr>
          <w:p>
            <w:pPr>
              <w:widowControl/>
              <w:snapToGrid w:val="0"/>
              <w:rPr>
                <w:rFonts w:ascii="宋体" w:hAnsi="宋体"/>
                <w:sz w:val="24"/>
                <w:szCs w:val="24"/>
              </w:rPr>
            </w:pPr>
            <w:r>
              <w:rPr>
                <w:rFonts w:hint="eastAsia" w:ascii="宋体" w:hAnsi="宋体"/>
                <w:sz w:val="24"/>
                <w:szCs w:val="24"/>
              </w:rPr>
              <w:t>施工进度计划及保障措施：</w:t>
            </w:r>
          </w:p>
          <w:p>
            <w:pPr>
              <w:widowControl/>
              <w:snapToGrid w:val="0"/>
              <w:rPr>
                <w:rFonts w:hint="eastAsia" w:ascii="宋体" w:hAnsi="宋体"/>
                <w:sz w:val="24"/>
                <w:szCs w:val="24"/>
              </w:rPr>
            </w:pPr>
            <w:r>
              <w:rPr>
                <w:rFonts w:hint="eastAsia" w:ascii="宋体" w:hAnsi="宋体"/>
                <w:sz w:val="24"/>
                <w:szCs w:val="24"/>
              </w:rPr>
              <w:t>综合考虑投标人的施工进度计划及保障措施的合理性、可行性等因素进行综合评价；</w:t>
            </w:r>
          </w:p>
          <w:p>
            <w:pPr>
              <w:widowControl/>
              <w:snapToGrid w:val="0"/>
              <w:rPr>
                <w:rFonts w:hint="eastAsia" w:ascii="宋体" w:hAnsi="宋体"/>
                <w:sz w:val="24"/>
                <w:szCs w:val="24"/>
              </w:rPr>
            </w:pPr>
            <w:r>
              <w:rPr>
                <w:rFonts w:hint="eastAsia" w:ascii="宋体" w:hAnsi="宋体"/>
                <w:sz w:val="24"/>
                <w:szCs w:val="24"/>
              </w:rPr>
              <w:t>施工进度计划及保障措施的合理性、可行性强，施工方案切实可行，施工难度小，得</w:t>
            </w:r>
            <w:r>
              <w:rPr>
                <w:rFonts w:ascii="宋体" w:hAnsi="宋体"/>
                <w:sz w:val="24"/>
                <w:szCs w:val="24"/>
              </w:rPr>
              <w:t>5</w:t>
            </w:r>
            <w:r>
              <w:rPr>
                <w:rFonts w:hint="eastAsia" w:ascii="宋体" w:hAnsi="宋体"/>
                <w:sz w:val="24"/>
                <w:szCs w:val="24"/>
              </w:rPr>
              <w:t>分；</w:t>
            </w:r>
          </w:p>
          <w:p>
            <w:pPr>
              <w:widowControl/>
              <w:snapToGrid w:val="0"/>
              <w:rPr>
                <w:rFonts w:hint="eastAsia" w:ascii="宋体" w:hAnsi="宋体"/>
                <w:sz w:val="24"/>
                <w:szCs w:val="24"/>
              </w:rPr>
            </w:pPr>
            <w:r>
              <w:rPr>
                <w:rFonts w:hint="eastAsia" w:ascii="宋体" w:hAnsi="宋体"/>
                <w:sz w:val="24"/>
                <w:szCs w:val="24"/>
              </w:rPr>
              <w:t>施工进度计划及保障措施的合理性、可行性一般，施工方案一般，施工有一定难度，得</w:t>
            </w:r>
            <w:r>
              <w:rPr>
                <w:rFonts w:ascii="宋体" w:hAnsi="宋体"/>
                <w:sz w:val="24"/>
                <w:szCs w:val="24"/>
              </w:rPr>
              <w:t>3</w:t>
            </w:r>
            <w:r>
              <w:rPr>
                <w:rFonts w:hint="eastAsia" w:ascii="宋体" w:hAnsi="宋体"/>
                <w:sz w:val="24"/>
                <w:szCs w:val="24"/>
              </w:rPr>
              <w:t>分；</w:t>
            </w:r>
          </w:p>
          <w:p>
            <w:pPr>
              <w:widowControl/>
              <w:snapToGrid w:val="0"/>
              <w:rPr>
                <w:rFonts w:ascii="宋体" w:hAnsi="宋体"/>
                <w:sz w:val="24"/>
                <w:szCs w:val="24"/>
              </w:rPr>
            </w:pPr>
            <w:r>
              <w:rPr>
                <w:rFonts w:hint="eastAsia" w:ascii="宋体" w:hAnsi="宋体"/>
                <w:sz w:val="24"/>
                <w:szCs w:val="24"/>
              </w:rPr>
              <w:t>施工进度计划及保障措施的合理性、可行性差，施工方案差，施工难度大，得1分；</w:t>
            </w:r>
          </w:p>
          <w:p>
            <w:pPr>
              <w:adjustRightInd w:val="0"/>
              <w:snapToGrid w:val="0"/>
              <w:jc w:val="left"/>
              <w:rPr>
                <w:rFonts w:hint="eastAsia" w:ascii="宋体" w:hAnsi="宋体"/>
                <w:sz w:val="24"/>
                <w:szCs w:val="24"/>
              </w:rPr>
            </w:pPr>
            <w:r>
              <w:rPr>
                <w:rFonts w:hint="eastAsia" w:ascii="宋体" w:hAnsi="宋体"/>
                <w:sz w:val="24"/>
                <w:szCs w:val="24"/>
              </w:rPr>
              <w:t>未提供本项内容，得0分。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953" w:hRule="exact"/>
          <w:jc w:val="center"/>
        </w:trPr>
        <w:tc>
          <w:tcPr>
            <w:tcW w:w="1622" w:type="dxa"/>
            <w:vMerge w:val="continue"/>
            <w:noWrap w:val="0"/>
            <w:vAlign w:val="center"/>
          </w:tcPr>
          <w:p>
            <w:pPr>
              <w:spacing w:line="280" w:lineRule="exact"/>
              <w:jc w:val="center"/>
              <w:rPr>
                <w:rFonts w:hint="eastAsia" w:ascii="宋体" w:hAnsi="宋体"/>
                <w:sz w:val="24"/>
                <w:szCs w:val="24"/>
              </w:rPr>
            </w:pPr>
          </w:p>
        </w:tc>
        <w:tc>
          <w:tcPr>
            <w:tcW w:w="2182" w:type="dxa"/>
            <w:noWrap w:val="0"/>
            <w:vAlign w:val="center"/>
          </w:tcPr>
          <w:p>
            <w:pPr>
              <w:adjustRightInd w:val="0"/>
              <w:jc w:val="center"/>
              <w:textAlignment w:val="baseline"/>
              <w:rPr>
                <w:rFonts w:hint="eastAsia" w:ascii="宋体" w:hAnsi="宋体"/>
                <w:sz w:val="24"/>
                <w:szCs w:val="24"/>
              </w:rPr>
            </w:pPr>
            <w:r>
              <w:rPr>
                <w:rFonts w:hint="eastAsia" w:ascii="宋体" w:hAnsi="宋体"/>
                <w:sz w:val="24"/>
                <w:szCs w:val="24"/>
              </w:rPr>
              <w:t>培训及售后</w:t>
            </w:r>
          </w:p>
        </w:tc>
        <w:tc>
          <w:tcPr>
            <w:tcW w:w="775" w:type="dxa"/>
            <w:noWrap w:val="0"/>
            <w:vAlign w:val="center"/>
          </w:tcPr>
          <w:p>
            <w:pPr>
              <w:adjustRightInd w:val="0"/>
              <w:jc w:val="center"/>
              <w:textAlignment w:val="baseline"/>
              <w:rPr>
                <w:rFonts w:hint="eastAsia" w:ascii="宋体" w:hAnsi="宋体"/>
                <w:sz w:val="24"/>
                <w:szCs w:val="24"/>
              </w:rPr>
            </w:pPr>
            <w:r>
              <w:rPr>
                <w:rFonts w:ascii="宋体" w:hAnsi="宋体"/>
                <w:sz w:val="24"/>
                <w:szCs w:val="24"/>
              </w:rPr>
              <w:t>5</w:t>
            </w:r>
          </w:p>
        </w:tc>
        <w:tc>
          <w:tcPr>
            <w:tcW w:w="4969" w:type="dxa"/>
            <w:noWrap w:val="0"/>
            <w:vAlign w:val="center"/>
          </w:tcPr>
          <w:p>
            <w:pPr>
              <w:widowControl/>
              <w:snapToGrid w:val="0"/>
              <w:rPr>
                <w:rFonts w:hint="eastAsia" w:ascii="宋体" w:hAnsi="宋体"/>
                <w:sz w:val="24"/>
                <w:szCs w:val="24"/>
              </w:rPr>
            </w:pPr>
            <w:r>
              <w:rPr>
                <w:rFonts w:hint="eastAsia" w:ascii="宋体" w:hAnsi="宋体"/>
                <w:sz w:val="24"/>
                <w:szCs w:val="24"/>
              </w:rPr>
              <w:t>综合考虑响应人培训及售后服务方案的合理性、可行性，售后服务的人员安排、响应时间等因素进行综合评价；</w:t>
            </w:r>
          </w:p>
          <w:p>
            <w:pPr>
              <w:snapToGrid w:val="0"/>
              <w:rPr>
                <w:rFonts w:hint="eastAsia" w:ascii="宋体" w:hAnsi="宋体"/>
                <w:sz w:val="24"/>
                <w:szCs w:val="24"/>
              </w:rPr>
            </w:pPr>
            <w:r>
              <w:rPr>
                <w:rFonts w:hint="eastAsia" w:ascii="宋体" w:hAnsi="宋体"/>
                <w:sz w:val="24"/>
                <w:szCs w:val="24"/>
              </w:rPr>
              <w:t>培训及售后服务方案的合理性、可行性强，售后服务人员安排合理，响应时间快，得3分；培训及售后服务方案的合理性、可行性一般，售后服务人员安排一般，响应时间一般，得2分；培训及售后服务方案的合理性、可行性差，售后服务人员安排差，响应时间差，得1分；未提供本项内容，得0分。提供人脸识别设备原厂质保函得</w:t>
            </w:r>
            <w:r>
              <w:rPr>
                <w:rFonts w:ascii="宋体" w:hAnsi="宋体"/>
                <w:sz w:val="24"/>
                <w:szCs w:val="24"/>
              </w:rPr>
              <w:t>2</w:t>
            </w:r>
            <w:r>
              <w:rPr>
                <w:rFonts w:hint="eastAsia" w:ascii="宋体" w:hAnsi="宋体"/>
                <w:sz w:val="24"/>
                <w:szCs w:val="24"/>
              </w:rPr>
              <w:t>分，未提供不得分。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78" w:hRule="exact"/>
          <w:jc w:val="center"/>
        </w:trPr>
        <w:tc>
          <w:tcPr>
            <w:tcW w:w="1622" w:type="dxa"/>
            <w:vMerge w:val="continue"/>
            <w:noWrap w:val="0"/>
            <w:vAlign w:val="center"/>
          </w:tcPr>
          <w:p>
            <w:pPr>
              <w:spacing w:line="280" w:lineRule="exact"/>
              <w:jc w:val="center"/>
              <w:rPr>
                <w:rFonts w:hint="eastAsia" w:ascii="宋体" w:hAnsi="宋体"/>
                <w:sz w:val="24"/>
                <w:szCs w:val="24"/>
              </w:rPr>
            </w:pPr>
          </w:p>
        </w:tc>
        <w:tc>
          <w:tcPr>
            <w:tcW w:w="2182" w:type="dxa"/>
            <w:noWrap w:val="0"/>
            <w:vAlign w:val="center"/>
          </w:tcPr>
          <w:p>
            <w:pPr>
              <w:adjustRightInd w:val="0"/>
              <w:snapToGrid w:val="0"/>
              <w:spacing w:line="360" w:lineRule="exact"/>
              <w:jc w:val="center"/>
              <w:rPr>
                <w:rFonts w:hint="eastAsia" w:ascii="宋体" w:hAnsi="宋体"/>
                <w:sz w:val="24"/>
                <w:szCs w:val="24"/>
              </w:rPr>
            </w:pPr>
            <w:r>
              <w:rPr>
                <w:rFonts w:hint="eastAsia" w:ascii="宋体" w:hAnsi="宋体"/>
                <w:sz w:val="24"/>
                <w:szCs w:val="24"/>
              </w:rPr>
              <w:t>交货期</w:t>
            </w:r>
          </w:p>
        </w:tc>
        <w:tc>
          <w:tcPr>
            <w:tcW w:w="775" w:type="dxa"/>
            <w:noWrap w:val="0"/>
            <w:vAlign w:val="center"/>
          </w:tcPr>
          <w:p>
            <w:pPr>
              <w:adjustRightInd w:val="0"/>
              <w:snapToGrid w:val="0"/>
              <w:spacing w:line="360" w:lineRule="exact"/>
              <w:jc w:val="center"/>
              <w:rPr>
                <w:rFonts w:hint="eastAsia" w:ascii="宋体" w:hAnsi="宋体"/>
                <w:sz w:val="24"/>
                <w:szCs w:val="24"/>
              </w:rPr>
            </w:pPr>
            <w:r>
              <w:rPr>
                <w:rFonts w:hint="eastAsia" w:ascii="宋体" w:hAnsi="宋体"/>
                <w:sz w:val="24"/>
                <w:szCs w:val="24"/>
                <w:lang w:val="en-US" w:eastAsia="zh-CN"/>
              </w:rPr>
              <w:t>1</w:t>
            </w:r>
          </w:p>
        </w:tc>
        <w:tc>
          <w:tcPr>
            <w:tcW w:w="4969" w:type="dxa"/>
            <w:noWrap w:val="0"/>
            <w:vAlign w:val="center"/>
          </w:tcPr>
          <w:p>
            <w:pPr>
              <w:adjustRightInd w:val="0"/>
              <w:snapToGrid w:val="0"/>
              <w:rPr>
                <w:rFonts w:hint="eastAsia" w:ascii="宋体" w:hAnsi="宋体"/>
                <w:sz w:val="24"/>
                <w:szCs w:val="24"/>
              </w:rPr>
            </w:pPr>
            <w:r>
              <w:rPr>
                <w:rFonts w:hint="eastAsia" w:ascii="宋体" w:hAnsi="宋体"/>
                <w:sz w:val="24"/>
                <w:szCs w:val="24"/>
              </w:rPr>
              <w:t>交货期完全满足论证要求得</w:t>
            </w:r>
            <w:r>
              <w:rPr>
                <w:rFonts w:hint="eastAsia" w:ascii="宋体" w:hAnsi="宋体"/>
                <w:sz w:val="24"/>
                <w:szCs w:val="24"/>
                <w:lang w:val="en-US" w:eastAsia="zh-CN"/>
              </w:rPr>
              <w:t>1</w:t>
            </w:r>
            <w:r>
              <w:rPr>
                <w:rFonts w:hint="eastAsia" w:ascii="宋体" w:hAnsi="宋体"/>
                <w:sz w:val="24"/>
                <w:szCs w:val="24"/>
              </w:rPr>
              <w:t>分，否则0分。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678" w:hRule="exact"/>
          <w:jc w:val="center"/>
        </w:trPr>
        <w:tc>
          <w:tcPr>
            <w:tcW w:w="1622" w:type="dxa"/>
            <w:noWrap w:val="0"/>
            <w:vAlign w:val="center"/>
          </w:tcPr>
          <w:p>
            <w:pPr>
              <w:spacing w:line="280" w:lineRule="exact"/>
              <w:jc w:val="center"/>
              <w:rPr>
                <w:rFonts w:hint="eastAsia" w:ascii="宋体" w:hAnsi="宋体"/>
                <w:sz w:val="24"/>
                <w:szCs w:val="24"/>
              </w:rPr>
            </w:pPr>
          </w:p>
        </w:tc>
        <w:tc>
          <w:tcPr>
            <w:tcW w:w="2182" w:type="dxa"/>
            <w:noWrap w:val="0"/>
            <w:vAlign w:val="center"/>
          </w:tcPr>
          <w:p>
            <w:pPr>
              <w:adjustRightInd w:val="0"/>
              <w:snapToGrid w:val="0"/>
              <w:spacing w:line="36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节能环保</w:t>
            </w:r>
          </w:p>
        </w:tc>
        <w:tc>
          <w:tcPr>
            <w:tcW w:w="775" w:type="dxa"/>
            <w:noWrap w:val="0"/>
            <w:vAlign w:val="center"/>
          </w:tcPr>
          <w:p>
            <w:pPr>
              <w:adjustRightInd w:val="0"/>
              <w:snapToGrid w:val="0"/>
              <w:spacing w:line="36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4969" w:type="dxa"/>
            <w:noWrap w:val="0"/>
            <w:vAlign w:val="center"/>
          </w:tcPr>
          <w:p>
            <w:pPr>
              <w:adjustRightInd w:val="0"/>
              <w:snapToGrid w:val="0"/>
              <w:rPr>
                <w:rFonts w:hint="eastAsia" w:ascii="宋体" w:hAnsi="宋体"/>
                <w:sz w:val="24"/>
                <w:szCs w:val="24"/>
              </w:rPr>
            </w:pPr>
            <w:r>
              <w:rPr>
                <w:rFonts w:hint="eastAsia" w:ascii="宋体" w:hAnsi="宋体" w:eastAsia="宋体"/>
                <w:szCs w:val="21"/>
              </w:rPr>
              <w:t>每有一项产品为政府采购节能产品（强制节能产品除外）或环境标志产品的得</w:t>
            </w:r>
            <w:r>
              <w:rPr>
                <w:rFonts w:ascii="宋体" w:hAnsi="宋体" w:eastAsia="宋体"/>
                <w:szCs w:val="21"/>
              </w:rPr>
              <w:t>0.5</w:t>
            </w:r>
            <w:r>
              <w:rPr>
                <w:rFonts w:hint="eastAsia" w:ascii="宋体" w:hAnsi="宋体" w:eastAsia="宋体"/>
                <w:szCs w:val="21"/>
              </w:rPr>
              <w:t>分最多得</w:t>
            </w:r>
            <w:r>
              <w:rPr>
                <w:rFonts w:ascii="宋体" w:hAnsi="宋体" w:eastAsia="宋体"/>
                <w:szCs w:val="21"/>
              </w:rPr>
              <w:t>1</w:t>
            </w:r>
            <w:r>
              <w:rPr>
                <w:rFonts w:hint="eastAsia" w:ascii="宋体" w:hAnsi="宋体" w:eastAsia="宋体"/>
                <w:szCs w:val="21"/>
              </w:rPr>
              <w:t>分。投标人须提供所投货物列入国家发展和改革委员会、财政部发布的“节能产品政府采购清单”,且认证证书在有效截止日期内否则不予考虑。</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143" w:hRule="exact"/>
          <w:jc w:val="center"/>
        </w:trPr>
        <w:tc>
          <w:tcPr>
            <w:tcW w:w="1622" w:type="dxa"/>
            <w:noWrap w:val="0"/>
            <w:vAlign w:val="center"/>
          </w:tcPr>
          <w:p>
            <w:pPr>
              <w:spacing w:line="280" w:lineRule="exact"/>
              <w:jc w:val="center"/>
              <w:rPr>
                <w:rFonts w:hint="eastAsia" w:ascii="宋体" w:hAnsi="宋体"/>
                <w:sz w:val="24"/>
                <w:szCs w:val="24"/>
              </w:rPr>
            </w:pPr>
            <w:r>
              <w:rPr>
                <w:rFonts w:hint="eastAsia" w:ascii="宋体" w:hAnsi="宋体"/>
                <w:sz w:val="24"/>
                <w:szCs w:val="24"/>
              </w:rPr>
              <w:t>投标报价</w:t>
            </w:r>
          </w:p>
          <w:p>
            <w:pPr>
              <w:spacing w:line="280" w:lineRule="exact"/>
              <w:jc w:val="center"/>
              <w:rPr>
                <w:rFonts w:hint="eastAsia" w:ascii="宋体" w:hAnsi="宋体"/>
                <w:sz w:val="24"/>
                <w:szCs w:val="24"/>
              </w:rPr>
            </w:pPr>
            <w:r>
              <w:rPr>
                <w:rFonts w:hint="eastAsia" w:ascii="宋体" w:hAnsi="宋体"/>
                <w:sz w:val="24"/>
                <w:szCs w:val="24"/>
              </w:rPr>
              <w:t>（30分）</w:t>
            </w:r>
          </w:p>
        </w:tc>
        <w:tc>
          <w:tcPr>
            <w:tcW w:w="2182" w:type="dxa"/>
            <w:noWrap w:val="0"/>
            <w:vAlign w:val="center"/>
          </w:tcPr>
          <w:p>
            <w:pPr>
              <w:spacing w:line="280" w:lineRule="exact"/>
              <w:jc w:val="left"/>
              <w:rPr>
                <w:rFonts w:hint="eastAsia" w:ascii="宋体" w:hAnsi="宋体"/>
                <w:sz w:val="24"/>
                <w:szCs w:val="24"/>
              </w:rPr>
            </w:pPr>
            <w:r>
              <w:rPr>
                <w:rFonts w:hint="eastAsia" w:ascii="宋体" w:hAnsi="宋体"/>
                <w:sz w:val="24"/>
                <w:szCs w:val="24"/>
              </w:rPr>
              <w:t>投标报价得分 =（评标基准价/投标报价）×30%×100</w:t>
            </w:r>
          </w:p>
        </w:tc>
        <w:tc>
          <w:tcPr>
            <w:tcW w:w="775" w:type="dxa"/>
            <w:noWrap w:val="0"/>
            <w:vAlign w:val="center"/>
          </w:tcPr>
          <w:p>
            <w:pPr>
              <w:spacing w:line="280" w:lineRule="exact"/>
              <w:jc w:val="center"/>
              <w:rPr>
                <w:rFonts w:hint="eastAsia" w:ascii="宋体" w:hAnsi="宋体"/>
                <w:sz w:val="24"/>
                <w:szCs w:val="24"/>
              </w:rPr>
            </w:pPr>
            <w:r>
              <w:rPr>
                <w:rFonts w:hint="eastAsia" w:ascii="宋体" w:hAnsi="宋体"/>
                <w:sz w:val="24"/>
                <w:szCs w:val="24"/>
              </w:rPr>
              <w:t>30</w:t>
            </w:r>
          </w:p>
        </w:tc>
        <w:tc>
          <w:tcPr>
            <w:tcW w:w="4969" w:type="dxa"/>
            <w:noWrap w:val="0"/>
            <w:vAlign w:val="center"/>
          </w:tcPr>
          <w:p>
            <w:pPr>
              <w:spacing w:line="280" w:lineRule="exact"/>
              <w:rPr>
                <w:rFonts w:ascii="宋体" w:hAnsi="宋体"/>
                <w:sz w:val="24"/>
                <w:szCs w:val="24"/>
              </w:rPr>
            </w:pPr>
            <w:r>
              <w:rPr>
                <w:rFonts w:hint="eastAsia" w:ascii="宋体" w:hAnsi="宋体"/>
                <w:sz w:val="24"/>
                <w:szCs w:val="24"/>
              </w:rPr>
              <w:t>满足论证实质性要求且价格最低的报价为评标基准价，其价格分为满分。</w:t>
            </w:r>
          </w:p>
          <w:p>
            <w:pPr>
              <w:spacing w:line="280" w:lineRule="exact"/>
              <w:rPr>
                <w:rFonts w:hint="eastAsia" w:ascii="宋体" w:hAnsi="宋体"/>
                <w:sz w:val="24"/>
                <w:szCs w:val="24"/>
              </w:rPr>
            </w:pPr>
            <w:r>
              <w:rPr>
                <w:rFonts w:ascii="宋体" w:hAnsi="宋体"/>
                <w:sz w:val="24"/>
                <w:szCs w:val="24"/>
              </w:rPr>
              <w:t>注</w:t>
            </w:r>
            <w:r>
              <w:rPr>
                <w:rFonts w:hint="eastAsia" w:ascii="宋体" w:hAnsi="宋体"/>
                <w:sz w:val="24"/>
                <w:szCs w:val="24"/>
              </w:rPr>
              <w:t>：</w:t>
            </w:r>
            <w:r>
              <w:rPr>
                <w:rFonts w:ascii="宋体" w:hAnsi="宋体"/>
                <w:sz w:val="24"/>
                <w:szCs w:val="24"/>
              </w:rPr>
              <w:t>价格分值保留</w:t>
            </w:r>
            <w:r>
              <w:rPr>
                <w:rFonts w:hint="eastAsia" w:ascii="宋体" w:hAnsi="宋体"/>
                <w:sz w:val="24"/>
                <w:szCs w:val="24"/>
              </w:rPr>
              <w:t>到</w:t>
            </w:r>
            <w:r>
              <w:rPr>
                <w:rFonts w:ascii="宋体" w:hAnsi="宋体"/>
                <w:sz w:val="24"/>
                <w:szCs w:val="24"/>
              </w:rPr>
              <w:t>小数点</w:t>
            </w:r>
            <w:r>
              <w:rPr>
                <w:rFonts w:hint="eastAsia" w:ascii="宋体" w:hAnsi="宋体"/>
                <w:sz w:val="24"/>
                <w:szCs w:val="24"/>
              </w:rPr>
              <w:t>后</w:t>
            </w:r>
            <w:r>
              <w:rPr>
                <w:rFonts w:ascii="宋体" w:hAnsi="宋体"/>
                <w:sz w:val="24"/>
                <w:szCs w:val="24"/>
              </w:rPr>
              <w:t>两位</w:t>
            </w:r>
            <w:r>
              <w:rPr>
                <w:rFonts w:hint="eastAsia" w:ascii="宋体" w:hAnsi="宋体"/>
                <w:sz w:val="24"/>
                <w:szCs w:val="24"/>
              </w:rPr>
              <w:t>。</w:t>
            </w:r>
          </w:p>
        </w:tc>
      </w:tr>
    </w:tbl>
    <w:p>
      <w:pPr>
        <w:spacing w:line="360" w:lineRule="auto"/>
        <w:ind w:firstLine="480" w:firstLineChars="200"/>
        <w:rPr>
          <w:rFonts w:hint="eastAsia" w:ascii="宋体" w:hAnsi="宋体"/>
          <w:b/>
          <w:sz w:val="24"/>
          <w:szCs w:val="24"/>
        </w:rPr>
      </w:pPr>
      <w:r>
        <w:rPr>
          <w:rFonts w:hint="eastAsia" w:ascii="宋体" w:hAnsi="宋体"/>
          <w:b/>
          <w:sz w:val="24"/>
          <w:szCs w:val="24"/>
        </w:rPr>
        <w:t>注：根据《政府采购促进中小企业发展管理办法》（财库﹝2020﹞46 号）的规定，对满足价格扣除条件且在投标文件中提交了《中小企业声明函》的供应商，其投标报价中由小型和微型企业制造的产品、提供的服务的报价扣除10%后参与评审。</w:t>
      </w:r>
    </w:p>
    <w:p>
      <w:pPr>
        <w:spacing w:line="360" w:lineRule="auto"/>
        <w:ind w:firstLine="480" w:firstLineChars="200"/>
        <w:rPr>
          <w:rFonts w:hint="eastAsia" w:ascii="宋体" w:hAnsi="宋体"/>
          <w:b/>
          <w:sz w:val="24"/>
          <w:szCs w:val="24"/>
        </w:rPr>
      </w:pPr>
      <w:r>
        <w:rPr>
          <w:rFonts w:hint="eastAsia" w:ascii="宋体" w:hAnsi="宋体"/>
          <w:b/>
          <w:sz w:val="24"/>
          <w:szCs w:val="24"/>
        </w:rPr>
        <w:t>监狱企业提供了由省级以上监狱管理局（北京市含教育矫治局）、戒毒管理局(含新疆生产建设兵团)出具的属于监狱企业的证明文件的，视同小型和微型企业。</w:t>
      </w:r>
    </w:p>
    <w:p>
      <w:pPr>
        <w:spacing w:line="360" w:lineRule="auto"/>
        <w:ind w:firstLine="480" w:firstLineChars="200"/>
        <w:rPr>
          <w:rFonts w:hint="eastAsia" w:ascii="宋体" w:hAnsi="宋体"/>
          <w:b/>
          <w:sz w:val="24"/>
          <w:szCs w:val="24"/>
        </w:rPr>
      </w:pPr>
      <w:r>
        <w:rPr>
          <w:rFonts w:hint="eastAsia" w:ascii="宋体" w:hAnsi="宋体"/>
          <w:b/>
          <w:sz w:val="24"/>
          <w:szCs w:val="24"/>
        </w:rPr>
        <w:t>残疾人福利性单位提供了《残疾人福利性单位声明函》，视同小型、微型企业。残疾人福利性单位属于小型、微型企业的，不重复享受政策。</w:t>
      </w:r>
    </w:p>
    <w:p>
      <w:pPr>
        <w:spacing w:line="360" w:lineRule="auto"/>
        <w:ind w:firstLine="480" w:firstLineChars="200"/>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采购人采购产品属于节能产品、环境标志产品品目清单范围内，且投标人所投产品具有节能产品、环境标志产品认证证书，在评标时予以优先采购（详见上述评分细则“节能、环保”）。</w:t>
      </w:r>
    </w:p>
    <w:sectPr>
      <w:footerReference r:id="rId3" w:type="default"/>
      <w:pgSz w:w="11906" w:h="16838"/>
      <w:pgMar w:top="930" w:right="935" w:bottom="930" w:left="151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rFonts w:hint="eastAsia"/>
      </w:rPr>
      <w:t>6-</w:t>
    </w:r>
    <w:r>
      <w:fldChar w:fldCharType="begin"/>
    </w:r>
    <w:r>
      <w:rPr>
        <w:rStyle w:val="11"/>
      </w:rPr>
      <w:instrText xml:space="preserve"> PAGE </w:instrText>
    </w:r>
    <w:r>
      <w:fldChar w:fldCharType="separate"/>
    </w:r>
    <w:r>
      <w:rPr>
        <w:rStyle w:val="11"/>
        <w:lang/>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ZjVhYmIwNWU1MTZiOGI2ODMyMTgxYzZmNTAyOWIifQ=="/>
  </w:docVars>
  <w:rsids>
    <w:rsidRoot w:val="08A708DB"/>
    <w:rsid w:val="0000087E"/>
    <w:rsid w:val="00004410"/>
    <w:rsid w:val="00011316"/>
    <w:rsid w:val="0003022D"/>
    <w:rsid w:val="00030264"/>
    <w:rsid w:val="000304C0"/>
    <w:rsid w:val="00047F52"/>
    <w:rsid w:val="00047F61"/>
    <w:rsid w:val="00050E5A"/>
    <w:rsid w:val="00055021"/>
    <w:rsid w:val="00062C4B"/>
    <w:rsid w:val="00070ACE"/>
    <w:rsid w:val="00084476"/>
    <w:rsid w:val="00091385"/>
    <w:rsid w:val="000A74FB"/>
    <w:rsid w:val="000B3BFE"/>
    <w:rsid w:val="000B7977"/>
    <w:rsid w:val="000D2936"/>
    <w:rsid w:val="000E297D"/>
    <w:rsid w:val="000E3EDA"/>
    <w:rsid w:val="000F7DCE"/>
    <w:rsid w:val="001046AA"/>
    <w:rsid w:val="00105359"/>
    <w:rsid w:val="00106EA9"/>
    <w:rsid w:val="001249E7"/>
    <w:rsid w:val="00126D54"/>
    <w:rsid w:val="0019221B"/>
    <w:rsid w:val="001967DF"/>
    <w:rsid w:val="001B6188"/>
    <w:rsid w:val="001C5AE9"/>
    <w:rsid w:val="001D510B"/>
    <w:rsid w:val="001D6EAB"/>
    <w:rsid w:val="001E577A"/>
    <w:rsid w:val="001E78BB"/>
    <w:rsid w:val="00210522"/>
    <w:rsid w:val="002158FA"/>
    <w:rsid w:val="00216165"/>
    <w:rsid w:val="002226F7"/>
    <w:rsid w:val="00227877"/>
    <w:rsid w:val="00233604"/>
    <w:rsid w:val="002420BD"/>
    <w:rsid w:val="00243CF3"/>
    <w:rsid w:val="00252AE1"/>
    <w:rsid w:val="00254FB8"/>
    <w:rsid w:val="0025567F"/>
    <w:rsid w:val="002629F3"/>
    <w:rsid w:val="0026645A"/>
    <w:rsid w:val="002704D1"/>
    <w:rsid w:val="00293ECE"/>
    <w:rsid w:val="002B3CCB"/>
    <w:rsid w:val="002C2DBE"/>
    <w:rsid w:val="002E556B"/>
    <w:rsid w:val="002E6D17"/>
    <w:rsid w:val="002F7F1A"/>
    <w:rsid w:val="003117B9"/>
    <w:rsid w:val="00315FDF"/>
    <w:rsid w:val="00331783"/>
    <w:rsid w:val="00333DC2"/>
    <w:rsid w:val="00334A0E"/>
    <w:rsid w:val="00342DA4"/>
    <w:rsid w:val="00353D39"/>
    <w:rsid w:val="00362322"/>
    <w:rsid w:val="00362E37"/>
    <w:rsid w:val="003708F0"/>
    <w:rsid w:val="003775BF"/>
    <w:rsid w:val="003A0164"/>
    <w:rsid w:val="003B07CD"/>
    <w:rsid w:val="003C4B68"/>
    <w:rsid w:val="003E1F7B"/>
    <w:rsid w:val="003F3599"/>
    <w:rsid w:val="00404726"/>
    <w:rsid w:val="0042539F"/>
    <w:rsid w:val="00425515"/>
    <w:rsid w:val="0043289E"/>
    <w:rsid w:val="00443C5B"/>
    <w:rsid w:val="004464D1"/>
    <w:rsid w:val="004532A4"/>
    <w:rsid w:val="00464BEE"/>
    <w:rsid w:val="00480B17"/>
    <w:rsid w:val="004815C4"/>
    <w:rsid w:val="00483B74"/>
    <w:rsid w:val="00495272"/>
    <w:rsid w:val="00495852"/>
    <w:rsid w:val="004A29B9"/>
    <w:rsid w:val="004B0AB9"/>
    <w:rsid w:val="004B4731"/>
    <w:rsid w:val="004C3096"/>
    <w:rsid w:val="004C67FA"/>
    <w:rsid w:val="004E02B0"/>
    <w:rsid w:val="004E531E"/>
    <w:rsid w:val="004F06AD"/>
    <w:rsid w:val="004F658A"/>
    <w:rsid w:val="00500FE1"/>
    <w:rsid w:val="00501250"/>
    <w:rsid w:val="00504FA0"/>
    <w:rsid w:val="00507867"/>
    <w:rsid w:val="00510F59"/>
    <w:rsid w:val="005129A9"/>
    <w:rsid w:val="0052207C"/>
    <w:rsid w:val="005240AE"/>
    <w:rsid w:val="00527550"/>
    <w:rsid w:val="005338E7"/>
    <w:rsid w:val="00534212"/>
    <w:rsid w:val="00554004"/>
    <w:rsid w:val="005560B9"/>
    <w:rsid w:val="005706BA"/>
    <w:rsid w:val="00571EB6"/>
    <w:rsid w:val="005725ED"/>
    <w:rsid w:val="005748B0"/>
    <w:rsid w:val="005806CC"/>
    <w:rsid w:val="00591D17"/>
    <w:rsid w:val="005B517D"/>
    <w:rsid w:val="005C64E7"/>
    <w:rsid w:val="005D425D"/>
    <w:rsid w:val="005E6098"/>
    <w:rsid w:val="00601E36"/>
    <w:rsid w:val="00606605"/>
    <w:rsid w:val="00610738"/>
    <w:rsid w:val="006240B3"/>
    <w:rsid w:val="006247A8"/>
    <w:rsid w:val="0063563D"/>
    <w:rsid w:val="006428A8"/>
    <w:rsid w:val="00657253"/>
    <w:rsid w:val="006A13A1"/>
    <w:rsid w:val="006A6E9D"/>
    <w:rsid w:val="006B7727"/>
    <w:rsid w:val="006D3910"/>
    <w:rsid w:val="006D4320"/>
    <w:rsid w:val="006D4A3D"/>
    <w:rsid w:val="006F205B"/>
    <w:rsid w:val="0071736E"/>
    <w:rsid w:val="00735760"/>
    <w:rsid w:val="0077200A"/>
    <w:rsid w:val="00783918"/>
    <w:rsid w:val="00795AA2"/>
    <w:rsid w:val="007A0DC6"/>
    <w:rsid w:val="007A7752"/>
    <w:rsid w:val="007B270C"/>
    <w:rsid w:val="007B7E7E"/>
    <w:rsid w:val="007C0352"/>
    <w:rsid w:val="007C2D2D"/>
    <w:rsid w:val="007C33D9"/>
    <w:rsid w:val="007C445B"/>
    <w:rsid w:val="007D4428"/>
    <w:rsid w:val="007D4B67"/>
    <w:rsid w:val="007D6734"/>
    <w:rsid w:val="007D7890"/>
    <w:rsid w:val="007E5A94"/>
    <w:rsid w:val="007F3295"/>
    <w:rsid w:val="00802B70"/>
    <w:rsid w:val="008064B1"/>
    <w:rsid w:val="008104E1"/>
    <w:rsid w:val="008248F9"/>
    <w:rsid w:val="00826057"/>
    <w:rsid w:val="00835B04"/>
    <w:rsid w:val="008545E3"/>
    <w:rsid w:val="008A7382"/>
    <w:rsid w:val="008B0882"/>
    <w:rsid w:val="008C5237"/>
    <w:rsid w:val="008F1F4C"/>
    <w:rsid w:val="00901949"/>
    <w:rsid w:val="00910EC2"/>
    <w:rsid w:val="0091629D"/>
    <w:rsid w:val="00923FCE"/>
    <w:rsid w:val="0092586A"/>
    <w:rsid w:val="00937B6F"/>
    <w:rsid w:val="00946544"/>
    <w:rsid w:val="00950044"/>
    <w:rsid w:val="00954ACC"/>
    <w:rsid w:val="0095640F"/>
    <w:rsid w:val="009621A5"/>
    <w:rsid w:val="00966AD3"/>
    <w:rsid w:val="009762F3"/>
    <w:rsid w:val="009861F9"/>
    <w:rsid w:val="009A2558"/>
    <w:rsid w:val="009A7B4C"/>
    <w:rsid w:val="009A7E4E"/>
    <w:rsid w:val="009A7F4F"/>
    <w:rsid w:val="009D2DCF"/>
    <w:rsid w:val="009D350F"/>
    <w:rsid w:val="009D36FB"/>
    <w:rsid w:val="009D40FA"/>
    <w:rsid w:val="009D6794"/>
    <w:rsid w:val="009E3680"/>
    <w:rsid w:val="00A12EBA"/>
    <w:rsid w:val="00A239AA"/>
    <w:rsid w:val="00A23ACB"/>
    <w:rsid w:val="00A23BE4"/>
    <w:rsid w:val="00A33B22"/>
    <w:rsid w:val="00A3508C"/>
    <w:rsid w:val="00A44D22"/>
    <w:rsid w:val="00A459B7"/>
    <w:rsid w:val="00A467F7"/>
    <w:rsid w:val="00A52038"/>
    <w:rsid w:val="00A53A96"/>
    <w:rsid w:val="00A808C6"/>
    <w:rsid w:val="00A914E8"/>
    <w:rsid w:val="00AA0E81"/>
    <w:rsid w:val="00AB3DD8"/>
    <w:rsid w:val="00AC2B25"/>
    <w:rsid w:val="00AD7A5D"/>
    <w:rsid w:val="00AE2C0D"/>
    <w:rsid w:val="00AE36A1"/>
    <w:rsid w:val="00AE50F0"/>
    <w:rsid w:val="00B0147A"/>
    <w:rsid w:val="00B01B8E"/>
    <w:rsid w:val="00B17E45"/>
    <w:rsid w:val="00B203FE"/>
    <w:rsid w:val="00B25026"/>
    <w:rsid w:val="00B553CA"/>
    <w:rsid w:val="00B5750F"/>
    <w:rsid w:val="00B7297A"/>
    <w:rsid w:val="00B75737"/>
    <w:rsid w:val="00B844BF"/>
    <w:rsid w:val="00B86417"/>
    <w:rsid w:val="00BA76E0"/>
    <w:rsid w:val="00BB6203"/>
    <w:rsid w:val="00BC218E"/>
    <w:rsid w:val="00BC2786"/>
    <w:rsid w:val="00BC65EB"/>
    <w:rsid w:val="00BF481B"/>
    <w:rsid w:val="00C00864"/>
    <w:rsid w:val="00C03D77"/>
    <w:rsid w:val="00C04739"/>
    <w:rsid w:val="00C12BF3"/>
    <w:rsid w:val="00C21E92"/>
    <w:rsid w:val="00C42361"/>
    <w:rsid w:val="00C435C0"/>
    <w:rsid w:val="00C472CB"/>
    <w:rsid w:val="00C53F17"/>
    <w:rsid w:val="00C64979"/>
    <w:rsid w:val="00C65893"/>
    <w:rsid w:val="00C667E2"/>
    <w:rsid w:val="00C84AB8"/>
    <w:rsid w:val="00C9387A"/>
    <w:rsid w:val="00C96C48"/>
    <w:rsid w:val="00CB170F"/>
    <w:rsid w:val="00CC1061"/>
    <w:rsid w:val="00CC192E"/>
    <w:rsid w:val="00CC1C47"/>
    <w:rsid w:val="00CD2912"/>
    <w:rsid w:val="00CE714E"/>
    <w:rsid w:val="00CF73B9"/>
    <w:rsid w:val="00CF7D28"/>
    <w:rsid w:val="00D1196F"/>
    <w:rsid w:val="00D14D9D"/>
    <w:rsid w:val="00D214A5"/>
    <w:rsid w:val="00D30D49"/>
    <w:rsid w:val="00D35945"/>
    <w:rsid w:val="00D62597"/>
    <w:rsid w:val="00D728B0"/>
    <w:rsid w:val="00D84BA0"/>
    <w:rsid w:val="00DA4FC0"/>
    <w:rsid w:val="00DB4439"/>
    <w:rsid w:val="00DC3038"/>
    <w:rsid w:val="00DD10F3"/>
    <w:rsid w:val="00DE677D"/>
    <w:rsid w:val="00DF6D32"/>
    <w:rsid w:val="00E0215E"/>
    <w:rsid w:val="00E03919"/>
    <w:rsid w:val="00E15F74"/>
    <w:rsid w:val="00E17A20"/>
    <w:rsid w:val="00E20739"/>
    <w:rsid w:val="00E44A40"/>
    <w:rsid w:val="00E54ACB"/>
    <w:rsid w:val="00E54B49"/>
    <w:rsid w:val="00E70E80"/>
    <w:rsid w:val="00E73180"/>
    <w:rsid w:val="00E75276"/>
    <w:rsid w:val="00E765F7"/>
    <w:rsid w:val="00E81C19"/>
    <w:rsid w:val="00E8342B"/>
    <w:rsid w:val="00E90A83"/>
    <w:rsid w:val="00E9540B"/>
    <w:rsid w:val="00E95AC5"/>
    <w:rsid w:val="00ED1926"/>
    <w:rsid w:val="00ED36E5"/>
    <w:rsid w:val="00ED44F0"/>
    <w:rsid w:val="00EF2782"/>
    <w:rsid w:val="00F079D8"/>
    <w:rsid w:val="00F11A0E"/>
    <w:rsid w:val="00F27C7C"/>
    <w:rsid w:val="00F30317"/>
    <w:rsid w:val="00F56C2A"/>
    <w:rsid w:val="00F60F5D"/>
    <w:rsid w:val="00F626B1"/>
    <w:rsid w:val="00F661A0"/>
    <w:rsid w:val="00F868F6"/>
    <w:rsid w:val="00F93239"/>
    <w:rsid w:val="00F95A1F"/>
    <w:rsid w:val="00FB0827"/>
    <w:rsid w:val="00FE1284"/>
    <w:rsid w:val="00FE6FBF"/>
    <w:rsid w:val="00FF582D"/>
    <w:rsid w:val="05F03E21"/>
    <w:rsid w:val="085B585C"/>
    <w:rsid w:val="088F4E23"/>
    <w:rsid w:val="08A708DB"/>
    <w:rsid w:val="0E2350DD"/>
    <w:rsid w:val="16CB17B6"/>
    <w:rsid w:val="18EA6F23"/>
    <w:rsid w:val="27BC4337"/>
    <w:rsid w:val="2E9A4AF0"/>
    <w:rsid w:val="2F4405B8"/>
    <w:rsid w:val="3B160381"/>
    <w:rsid w:val="409843DD"/>
    <w:rsid w:val="41AB3469"/>
    <w:rsid w:val="48C20A74"/>
    <w:rsid w:val="4A3459A1"/>
    <w:rsid w:val="4D051A4A"/>
    <w:rsid w:val="5C445562"/>
    <w:rsid w:val="6B514C91"/>
    <w:rsid w:val="6CDB05EF"/>
    <w:rsid w:val="74EA63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3">
    <w:name w:val="annotation text"/>
    <w:basedOn w:val="1"/>
    <w:link w:val="13"/>
    <w:uiPriority w:val="0"/>
    <w:pPr>
      <w:jc w:val="left"/>
    </w:pPr>
  </w:style>
  <w:style w:type="paragraph" w:styleId="4">
    <w:name w:val="Plain Text"/>
    <w:basedOn w:val="1"/>
    <w:qFormat/>
    <w:uiPriority w:val="0"/>
    <w:pPr>
      <w:widowControl/>
      <w:spacing w:before="100" w:beforeAutospacing="1" w:after="100" w:afterAutospacing="1"/>
      <w:jc w:val="left"/>
    </w:pPr>
    <w:rPr>
      <w:rFonts w:ascii="宋体" w:hAnsi="Times New Roman" w:eastAsia="宋体" w:cs="Times New Roman"/>
      <w:kern w:val="0"/>
      <w:szCs w:val="24"/>
    </w:r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4"/>
    <w:uiPriority w:val="0"/>
    <w:rPr>
      <w:b/>
      <w:bCs/>
    </w:rPr>
  </w:style>
  <w:style w:type="character" w:styleId="11">
    <w:name w:val="page number"/>
    <w:uiPriority w:val="0"/>
  </w:style>
  <w:style w:type="character" w:styleId="12">
    <w:name w:val="annotation reference"/>
    <w:uiPriority w:val="0"/>
    <w:rPr>
      <w:sz w:val="21"/>
      <w:szCs w:val="21"/>
    </w:rPr>
  </w:style>
  <w:style w:type="character" w:customStyle="1" w:styleId="13">
    <w:name w:val="批注文字 字符"/>
    <w:link w:val="3"/>
    <w:uiPriority w:val="0"/>
    <w:rPr>
      <w:kern w:val="2"/>
      <w:sz w:val="21"/>
    </w:rPr>
  </w:style>
  <w:style w:type="character" w:customStyle="1" w:styleId="14">
    <w:name w:val="批注主题 字符"/>
    <w:link w:val="8"/>
    <w:uiPriority w:val="0"/>
    <w:rPr>
      <w:b/>
      <w:bCs/>
      <w:kern w:val="2"/>
      <w:sz w:val="21"/>
    </w:rPr>
  </w:style>
  <w:style w:type="paragraph" w:customStyle="1" w:styleId="15">
    <w:name w:val="默认段落字体 Para Char Char Char Char Char Char Char Char Char Char Char Char Char"/>
    <w:basedOn w:val="1"/>
    <w:uiPriority w:val="0"/>
    <w:pPr>
      <w:tabs>
        <w:tab w:val="right" w:pos="-2120"/>
      </w:tabs>
      <w:snapToGrid w:val="0"/>
    </w:pPr>
    <w:rPr>
      <w:rFonts w:ascii="Tahoma" w:hAnsi="Tahoma"/>
      <w:spacing w:val="6"/>
      <w:sz w:val="24"/>
    </w:rPr>
  </w:style>
  <w:style w:type="paragraph" w:styleId="16">
    <w:name w:val="No Spacing"/>
    <w:qFormat/>
    <w:uiPriority w:val="1"/>
    <w:pPr>
      <w:widowControl w:val="0"/>
      <w:jc w:val="both"/>
    </w:pPr>
    <w:rPr>
      <w:kern w:val="2"/>
      <w:sz w:val="21"/>
      <w:lang w:val="en-US" w:eastAsia="zh-CN" w:bidi="ar-SA"/>
    </w:rPr>
  </w:style>
  <w:style w:type="paragraph" w:styleId="17">
    <w:name w:val=""/>
    <w:unhideWhenUsed/>
    <w:uiPriority w:val="99"/>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20154;&#33080;&#35782;&#21035;&#31995;&#32479;&#24314;&#35774;&#39033;&#30446;\&#21271;&#20140;&#22823;&#23398;&#31532;&#20845;&#21307;&#38498;&#20154;&#33080;&#35782;&#21035;&#31995;&#32479;&#24314;&#35774;&#39033;&#30446;\&#35780;&#26631;&#32454;&#2101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评标细则.dot</Template>
  <Pages>3</Pages>
  <Words>1525</Words>
  <Characters>1572</Characters>
  <Lines>11</Lines>
  <Paragraphs>3</Paragraphs>
  <TotalTime>3</TotalTime>
  <ScaleCrop>false</ScaleCrop>
  <LinksUpToDate>false</LinksUpToDate>
  <CharactersWithSpaces>1587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2022-08-16T08:56:00Z</dcterms:created>
  <dc:creator>Acer</dc:creator>
  <cp:lastModifiedBy>Acer</cp:lastModifiedBy>
  <dcterms:modified xsi:type="dcterms:W3CDTF">2022-08-16T08:57:24Z</dcterms:modified>
  <dc:title>第六部分    评标细则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526E50A4D921416799CCBB3E7318B27A</vt:lpwstr>
  </property>
</Properties>
</file>