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103"/>
        </w:tabs>
        <w:jc w:val="center"/>
        <w:rPr>
          <w:rFonts w:ascii="宋体" w:hAnsi="宋体"/>
          <w:b/>
          <w:color w:val="000000"/>
          <w:sz w:val="36"/>
          <w:szCs w:val="36"/>
        </w:rPr>
      </w:pPr>
      <w:r>
        <w:rPr>
          <w:rFonts w:hint="eastAsia" w:ascii="宋体" w:hAnsi="宋体"/>
          <w:b/>
          <w:color w:val="000000"/>
          <w:sz w:val="36"/>
          <w:szCs w:val="36"/>
        </w:rPr>
        <w:t>评标细则</w:t>
      </w:r>
    </w:p>
    <w:p>
      <w:pPr>
        <w:spacing w:line="520" w:lineRule="exact"/>
        <w:jc w:val="left"/>
        <w:rPr>
          <w:rFonts w:ascii="宋体" w:hAnsi="宋体"/>
          <w:color w:val="000000"/>
          <w:sz w:val="24"/>
          <w:szCs w:val="24"/>
        </w:rPr>
      </w:pPr>
      <w:r>
        <w:rPr>
          <w:rFonts w:hint="eastAsia" w:ascii="宋体" w:hAnsi="宋体"/>
          <w:b/>
          <w:color w:val="000000"/>
          <w:sz w:val="24"/>
          <w:szCs w:val="24"/>
        </w:rPr>
        <w:t>一、总则</w:t>
      </w:r>
    </w:p>
    <w:p>
      <w:pPr>
        <w:spacing w:line="480" w:lineRule="exact"/>
        <w:ind w:firstLine="482"/>
        <w:rPr>
          <w:rFonts w:ascii="宋体" w:hAnsi="宋体"/>
          <w:color w:val="000000"/>
          <w:sz w:val="24"/>
          <w:szCs w:val="24"/>
        </w:rPr>
      </w:pPr>
      <w:r>
        <w:rPr>
          <w:rFonts w:hint="eastAsia" w:ascii="宋体" w:hAnsi="宋体"/>
          <w:color w:val="000000"/>
          <w:sz w:val="24"/>
          <w:szCs w:val="24"/>
        </w:rPr>
        <w:t>评标委员会将仅对在实质上响应招标文件要求的投标文件进行评价和比较。投标文件的评价采用综合评分法，满分为100分。</w:t>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r>
        <w:rPr>
          <w:rFonts w:hint="eastAsia" w:ascii="宋体" w:hAnsi="宋体"/>
          <w:vanish/>
          <w:color w:val="000000"/>
          <w:sz w:val="24"/>
          <w:szCs w:val="24"/>
        </w:rPr>
        <w:pgNum/>
      </w:r>
    </w:p>
    <w:p>
      <w:pPr>
        <w:spacing w:line="520" w:lineRule="exact"/>
        <w:jc w:val="left"/>
        <w:rPr>
          <w:rFonts w:ascii="宋体" w:hAnsi="宋体"/>
          <w:color w:val="000000"/>
          <w:sz w:val="24"/>
        </w:rPr>
      </w:pPr>
      <w:r>
        <w:rPr>
          <w:rFonts w:hint="eastAsia" w:ascii="宋体" w:hAnsi="宋体"/>
          <w:b/>
          <w:color w:val="000000"/>
          <w:sz w:val="24"/>
          <w:szCs w:val="24"/>
        </w:rPr>
        <w:t>二、评分细则</w:t>
      </w:r>
    </w:p>
    <w:tbl>
      <w:tblPr>
        <w:tblStyle w:val="6"/>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766"/>
        <w:gridCol w:w="1786"/>
        <w:gridCol w:w="5211"/>
        <w:gridCol w:w="10"/>
        <w:gridCol w:w="1164"/>
        <w:gridCol w:w="8"/>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 w:type="dxa"/>
          <w:wAfter w:w="7" w:type="dxa"/>
          <w:trHeight w:val="415" w:hRule="atLeast"/>
          <w:jc w:val="center"/>
        </w:trPr>
        <w:tc>
          <w:tcPr>
            <w:tcW w:w="766" w:type="dxa"/>
            <w:noWrap/>
            <w:vAlign w:val="center"/>
          </w:tcPr>
          <w:p>
            <w:pPr>
              <w:widowControl/>
              <w:adjustRightInd w:val="0"/>
              <w:snapToGrid w:val="0"/>
              <w:jc w:val="center"/>
              <w:rPr>
                <w:rFonts w:ascii="宋体" w:hAnsi="宋体" w:cs="宋体"/>
                <w:b/>
                <w:bCs/>
                <w:color w:val="000000"/>
                <w:kern w:val="0"/>
                <w:sz w:val="24"/>
                <w:szCs w:val="24"/>
              </w:rPr>
            </w:pPr>
            <w:r>
              <w:rPr>
                <w:rFonts w:ascii="宋体" w:hAnsi="宋体" w:cs="宋体"/>
                <w:b/>
                <w:bCs/>
                <w:color w:val="000000"/>
                <w:kern w:val="0"/>
                <w:sz w:val="24"/>
                <w:szCs w:val="24"/>
              </w:rPr>
              <w:t>序号</w:t>
            </w:r>
          </w:p>
        </w:tc>
        <w:tc>
          <w:tcPr>
            <w:tcW w:w="1786" w:type="dxa"/>
            <w:noWrap/>
            <w:vAlign w:val="center"/>
          </w:tcPr>
          <w:p>
            <w:pPr>
              <w:widowControl/>
              <w:adjustRightInd w:val="0"/>
              <w:snapToGrid w:val="0"/>
              <w:jc w:val="center"/>
              <w:rPr>
                <w:rFonts w:ascii="宋体" w:hAnsi="宋体" w:cs="宋体"/>
                <w:b/>
                <w:bCs/>
                <w:color w:val="000000"/>
                <w:kern w:val="0"/>
                <w:sz w:val="24"/>
                <w:szCs w:val="24"/>
              </w:rPr>
            </w:pPr>
            <w:r>
              <w:rPr>
                <w:rFonts w:ascii="宋体" w:hAnsi="宋体" w:cs="宋体"/>
                <w:b/>
                <w:bCs/>
                <w:color w:val="000000"/>
                <w:kern w:val="0"/>
                <w:sz w:val="24"/>
                <w:szCs w:val="24"/>
              </w:rPr>
              <w:t>类别</w:t>
            </w:r>
          </w:p>
        </w:tc>
        <w:tc>
          <w:tcPr>
            <w:tcW w:w="5221" w:type="dxa"/>
            <w:gridSpan w:val="2"/>
            <w:noWrap/>
            <w:vAlign w:val="center"/>
          </w:tcPr>
          <w:p>
            <w:pPr>
              <w:widowControl/>
              <w:adjustRightInd w:val="0"/>
              <w:snapToGrid w:val="0"/>
              <w:jc w:val="center"/>
              <w:rPr>
                <w:rFonts w:ascii="宋体" w:hAnsi="宋体" w:cs="宋体"/>
                <w:b/>
                <w:bCs/>
                <w:color w:val="000000"/>
                <w:kern w:val="0"/>
                <w:sz w:val="24"/>
                <w:szCs w:val="24"/>
              </w:rPr>
            </w:pPr>
            <w:r>
              <w:rPr>
                <w:rFonts w:ascii="宋体" w:hAnsi="宋体" w:cs="宋体"/>
                <w:b/>
                <w:bCs/>
                <w:color w:val="000000"/>
                <w:kern w:val="0"/>
                <w:sz w:val="24"/>
                <w:szCs w:val="24"/>
              </w:rPr>
              <w:t>说明</w:t>
            </w:r>
          </w:p>
        </w:tc>
        <w:tc>
          <w:tcPr>
            <w:tcW w:w="1172" w:type="dxa"/>
            <w:gridSpan w:val="2"/>
            <w:noWrap/>
            <w:vAlign w:val="center"/>
          </w:tcPr>
          <w:p>
            <w:pPr>
              <w:widowControl/>
              <w:adjustRightInd w:val="0"/>
              <w:snapToGrid w:val="0"/>
              <w:jc w:val="center"/>
              <w:rPr>
                <w:rFonts w:ascii="宋体" w:hAnsi="宋体" w:cs="宋体"/>
                <w:b/>
                <w:bCs/>
                <w:color w:val="000000"/>
                <w:kern w:val="0"/>
                <w:sz w:val="24"/>
                <w:szCs w:val="24"/>
              </w:rPr>
            </w:pPr>
            <w:r>
              <w:rPr>
                <w:rFonts w:ascii="宋体" w:hAnsi="宋体" w:cs="宋体"/>
                <w:b/>
                <w:bCs/>
                <w:color w:val="000000"/>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2"/>
          <w:wBefore w:w="8" w:type="dxa"/>
          <w:wAfter w:w="15" w:type="dxa"/>
          <w:trHeight w:val="368" w:hRule="atLeast"/>
          <w:jc w:val="center"/>
        </w:trPr>
        <w:tc>
          <w:tcPr>
            <w:tcW w:w="766" w:type="dxa"/>
            <w:noWrap/>
            <w:vAlign w:val="center"/>
          </w:tcPr>
          <w:p>
            <w:pPr>
              <w:adjustRightInd w:val="0"/>
              <w:snapToGrid w:val="0"/>
              <w:jc w:val="center"/>
              <w:rPr>
                <w:rFonts w:ascii="宋体" w:hAnsi="宋体"/>
                <w:color w:val="000000"/>
                <w:sz w:val="24"/>
                <w:szCs w:val="24"/>
              </w:rPr>
            </w:pPr>
            <w:r>
              <w:rPr>
                <w:rFonts w:ascii="宋体" w:hAnsi="宋体"/>
                <w:color w:val="000000"/>
                <w:sz w:val="24"/>
                <w:szCs w:val="24"/>
              </w:rPr>
              <w:t>1</w:t>
            </w:r>
          </w:p>
        </w:tc>
        <w:tc>
          <w:tcPr>
            <w:tcW w:w="1786" w:type="dxa"/>
            <w:noWrap/>
            <w:vAlign w:val="center"/>
          </w:tcPr>
          <w:p>
            <w:pPr>
              <w:adjustRightInd w:val="0"/>
              <w:snapToGrid w:val="0"/>
              <w:jc w:val="center"/>
              <w:rPr>
                <w:rFonts w:ascii="宋体" w:hAnsi="宋体"/>
                <w:color w:val="000000"/>
                <w:sz w:val="24"/>
                <w:szCs w:val="24"/>
              </w:rPr>
            </w:pPr>
            <w:bookmarkStart w:id="0" w:name="OLE_LINK41"/>
            <w:r>
              <w:rPr>
                <w:rFonts w:hint="eastAsia" w:ascii="宋体" w:hAnsi="宋体"/>
                <w:color w:val="000000"/>
                <w:sz w:val="24"/>
                <w:szCs w:val="24"/>
              </w:rPr>
              <w:t>投标人</w:t>
            </w:r>
            <w:r>
              <w:rPr>
                <w:rFonts w:ascii="宋体" w:hAnsi="宋体"/>
                <w:color w:val="000000"/>
                <w:sz w:val="24"/>
                <w:szCs w:val="24"/>
              </w:rPr>
              <w:t>业绩</w:t>
            </w:r>
            <w:bookmarkEnd w:id="0"/>
          </w:p>
        </w:tc>
        <w:tc>
          <w:tcPr>
            <w:tcW w:w="5211" w:type="dxa"/>
            <w:noWrap/>
            <w:vAlign w:val="center"/>
          </w:tcPr>
          <w:p>
            <w:pPr>
              <w:adjustRightInd w:val="0"/>
              <w:snapToGrid w:val="0"/>
              <w:rPr>
                <w:rFonts w:ascii="宋体" w:hAnsi="宋体"/>
                <w:color w:val="000000"/>
                <w:sz w:val="24"/>
                <w:szCs w:val="24"/>
              </w:rPr>
            </w:pPr>
            <w:r>
              <w:rPr>
                <w:rFonts w:hint="eastAsia" w:ascii="宋体" w:hAnsi="宋体" w:cs="宋体"/>
                <w:color w:val="000000"/>
                <w:kern w:val="0"/>
                <w:sz w:val="24"/>
                <w:szCs w:val="24"/>
              </w:rPr>
              <w:t>投标人自</w:t>
            </w:r>
            <w:r>
              <w:rPr>
                <w:rFonts w:hint="eastAsia" w:ascii="宋体" w:hAnsi="宋体" w:cs="宋体"/>
                <w:color w:val="000000" w:themeColor="text1"/>
                <w:kern w:val="0"/>
                <w:sz w:val="24"/>
                <w:szCs w:val="24"/>
              </w:rPr>
              <w:t>2020</w:t>
            </w:r>
            <w:r>
              <w:rPr>
                <w:rFonts w:ascii="宋体" w:hAnsi="宋体" w:cs="宋体"/>
                <w:color w:val="000000" w:themeColor="text1"/>
                <w:kern w:val="0"/>
                <w:sz w:val="24"/>
                <w:szCs w:val="24"/>
              </w:rPr>
              <w:t>年</w:t>
            </w:r>
            <w:r>
              <w:rPr>
                <w:rFonts w:ascii="宋体" w:hAnsi="宋体" w:cs="宋体"/>
                <w:color w:val="000000"/>
                <w:kern w:val="0"/>
                <w:sz w:val="24"/>
                <w:szCs w:val="24"/>
              </w:rPr>
              <w:t>至今</w:t>
            </w:r>
            <w:r>
              <w:rPr>
                <w:rFonts w:hint="eastAsia" w:ascii="宋体" w:hAnsi="宋体" w:cs="宋体"/>
                <w:color w:val="000000"/>
                <w:kern w:val="0"/>
                <w:sz w:val="24"/>
                <w:szCs w:val="24"/>
              </w:rPr>
              <w:t>已承接的类似宽带服务项目进行评价，每一项类似业绩得4分，最高得1</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分。</w:t>
            </w:r>
            <w:r>
              <w:rPr>
                <w:rFonts w:ascii="宋体" w:hAnsi="宋体"/>
                <w:color w:val="000000"/>
                <w:sz w:val="24"/>
                <w:szCs w:val="24"/>
              </w:rPr>
              <w:t>注：以上项目须提供合同以下相关部分复印件，包括首页、签署盖章页、显示</w:t>
            </w:r>
            <w:r>
              <w:rPr>
                <w:rFonts w:hint="eastAsia" w:ascii="宋体" w:hAnsi="宋体"/>
                <w:color w:val="000000"/>
                <w:sz w:val="24"/>
                <w:szCs w:val="24"/>
              </w:rPr>
              <w:t>上述内容</w:t>
            </w:r>
            <w:r>
              <w:rPr>
                <w:rFonts w:ascii="宋体" w:hAnsi="宋体"/>
                <w:color w:val="000000"/>
                <w:sz w:val="24"/>
                <w:szCs w:val="24"/>
              </w:rPr>
              <w:t>的相关页。</w:t>
            </w:r>
            <w:r>
              <w:rPr>
                <w:rFonts w:hint="eastAsia" w:ascii="宋体" w:hAnsi="宋体"/>
                <w:color w:val="000000"/>
                <w:sz w:val="24"/>
                <w:szCs w:val="24"/>
              </w:rPr>
              <w:t>未提供则不得分。</w:t>
            </w:r>
          </w:p>
        </w:tc>
        <w:tc>
          <w:tcPr>
            <w:tcW w:w="1174" w:type="dxa"/>
            <w:gridSpan w:val="2"/>
            <w:noWrap/>
            <w:vAlign w:val="center"/>
          </w:tcPr>
          <w:p>
            <w:pPr>
              <w:adjustRightInd w:val="0"/>
              <w:snapToGrid w:val="0"/>
              <w:jc w:val="center"/>
              <w:rPr>
                <w:rFonts w:hint="eastAsia" w:ascii="宋体" w:hAnsi="宋体" w:eastAsia="宋体"/>
                <w:color w:val="000000"/>
                <w:sz w:val="24"/>
                <w:szCs w:val="24"/>
                <w:lang w:val="en-US" w:eastAsia="zh-CN"/>
              </w:rPr>
            </w:pPr>
            <w:r>
              <w:rPr>
                <w:rFonts w:hint="eastAsia" w:ascii="宋体" w:hAnsi="宋体"/>
                <w:color w:val="000000"/>
                <w:sz w:val="24"/>
                <w:szCs w:val="24"/>
              </w:rPr>
              <w:t>1</w:t>
            </w:r>
            <w:r>
              <w:rPr>
                <w:rFonts w:hint="eastAsia" w:ascii="宋体" w:hAnsi="宋体"/>
                <w:color w:val="00000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74" w:type="dxa"/>
            <w:gridSpan w:val="2"/>
            <w:noWrap/>
            <w:vAlign w:val="center"/>
          </w:tcPr>
          <w:p>
            <w:pPr>
              <w:adjustRightInd w:val="0"/>
              <w:snapToGrid w:val="0"/>
              <w:jc w:val="center"/>
              <w:rPr>
                <w:rFonts w:ascii="宋体" w:hAnsi="宋体"/>
                <w:color w:val="000000"/>
                <w:sz w:val="24"/>
                <w:szCs w:val="24"/>
              </w:rPr>
            </w:pPr>
            <w:r>
              <w:rPr>
                <w:rFonts w:ascii="宋体" w:hAnsi="宋体"/>
                <w:color w:val="000000"/>
                <w:sz w:val="24"/>
                <w:szCs w:val="24"/>
              </w:rPr>
              <w:t>2</w:t>
            </w:r>
          </w:p>
        </w:tc>
        <w:tc>
          <w:tcPr>
            <w:tcW w:w="1786" w:type="dxa"/>
            <w:noWrap/>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投标人资质</w:t>
            </w:r>
          </w:p>
        </w:tc>
        <w:tc>
          <w:tcPr>
            <w:tcW w:w="5211" w:type="dxa"/>
            <w:noWrap/>
            <w:vAlign w:val="center"/>
          </w:tcPr>
          <w:p>
            <w:pPr>
              <w:adjustRightInd w:val="0"/>
              <w:snapToGrid w:val="0"/>
              <w:rPr>
                <w:rFonts w:ascii="宋体" w:hAnsi="宋体" w:cs="宋体"/>
                <w:color w:val="000000"/>
                <w:kern w:val="0"/>
                <w:sz w:val="24"/>
                <w:szCs w:val="24"/>
                <w:lang w:bidi="as-IN"/>
              </w:rPr>
            </w:pPr>
            <w:r>
              <w:rPr>
                <w:rFonts w:hint="eastAsia" w:ascii="宋体" w:hAnsi="宋体" w:cs="宋体"/>
                <w:color w:val="000000"/>
                <w:kern w:val="0"/>
                <w:sz w:val="24"/>
                <w:szCs w:val="24"/>
                <w:lang w:bidi="as-IN"/>
              </w:rPr>
              <w:t>投标人具有有效的</w:t>
            </w:r>
            <w:r>
              <w:rPr>
                <w:rFonts w:hint="eastAsia" w:ascii="宋体" w:hAnsi="宋体" w:cs="Arial"/>
                <w:color w:val="000000"/>
                <w:sz w:val="24"/>
                <w:szCs w:val="24"/>
              </w:rPr>
              <w:t>增值电信业务经营许可证书</w:t>
            </w:r>
            <w:r>
              <w:rPr>
                <w:rFonts w:hint="eastAsia" w:ascii="宋体" w:hAnsi="宋体" w:cs="宋体"/>
                <w:color w:val="000000"/>
                <w:kern w:val="0"/>
                <w:sz w:val="24"/>
                <w:szCs w:val="24"/>
                <w:lang w:bidi="as-IN"/>
              </w:rPr>
              <w:t>得</w:t>
            </w:r>
            <w:r>
              <w:rPr>
                <w:rFonts w:hint="eastAsia" w:ascii="宋体" w:hAnsi="宋体" w:cs="宋体"/>
                <w:color w:val="000000"/>
                <w:kern w:val="0"/>
                <w:sz w:val="24"/>
                <w:szCs w:val="24"/>
                <w:lang w:val="en-US" w:eastAsia="zh-CN" w:bidi="as-IN"/>
              </w:rPr>
              <w:t>5</w:t>
            </w:r>
            <w:r>
              <w:rPr>
                <w:rFonts w:hint="eastAsia" w:ascii="宋体" w:hAnsi="宋体" w:cs="宋体"/>
                <w:color w:val="000000"/>
                <w:kern w:val="0"/>
                <w:sz w:val="24"/>
                <w:szCs w:val="24"/>
                <w:lang w:bidi="as-IN"/>
              </w:rPr>
              <w:t>分，否则不得分。</w:t>
            </w:r>
          </w:p>
          <w:p>
            <w:pPr>
              <w:adjustRightInd w:val="0"/>
              <w:snapToGrid w:val="0"/>
              <w:rPr>
                <w:rFonts w:ascii="宋体" w:hAnsi="宋体"/>
                <w:color w:val="000000"/>
                <w:sz w:val="24"/>
                <w:szCs w:val="24"/>
              </w:rPr>
            </w:pPr>
            <w:r>
              <w:rPr>
                <w:rFonts w:hint="eastAsia" w:ascii="宋体" w:hAnsi="宋体"/>
                <w:color w:val="000000"/>
                <w:sz w:val="24"/>
                <w:szCs w:val="24"/>
              </w:rPr>
              <w:t>注：须</w:t>
            </w:r>
            <w:r>
              <w:rPr>
                <w:rFonts w:ascii="宋体" w:hAnsi="宋体"/>
                <w:color w:val="000000"/>
                <w:sz w:val="24"/>
                <w:szCs w:val="24"/>
              </w:rPr>
              <w:t>提供相关证明材料并加盖投标人公章</w:t>
            </w:r>
            <w:r>
              <w:rPr>
                <w:rFonts w:hint="eastAsia" w:ascii="宋体" w:hAnsi="宋体"/>
                <w:color w:val="000000"/>
                <w:sz w:val="24"/>
                <w:szCs w:val="24"/>
              </w:rPr>
              <w:t>。</w:t>
            </w:r>
          </w:p>
        </w:tc>
        <w:tc>
          <w:tcPr>
            <w:tcW w:w="1189" w:type="dxa"/>
            <w:gridSpan w:val="4"/>
            <w:noWrap/>
            <w:vAlign w:val="center"/>
          </w:tcPr>
          <w:p>
            <w:pPr>
              <w:adjustRightInd w:val="0"/>
              <w:snapToGrid w:val="0"/>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 w:type="dxa"/>
          <w:wAfter w:w="7" w:type="dxa"/>
          <w:trHeight w:val="538" w:hRule="atLeast"/>
          <w:jc w:val="center"/>
        </w:trPr>
        <w:tc>
          <w:tcPr>
            <w:tcW w:w="76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3</w:t>
            </w:r>
          </w:p>
        </w:tc>
        <w:tc>
          <w:tcPr>
            <w:tcW w:w="178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000000"/>
                <w:sz w:val="24"/>
                <w:szCs w:val="24"/>
              </w:rPr>
            </w:pPr>
            <w:r>
              <w:rPr>
                <w:rFonts w:ascii="宋体" w:hAnsi="宋体" w:cs="宋体"/>
                <w:color w:val="000000"/>
                <w:sz w:val="24"/>
                <w:szCs w:val="24"/>
              </w:rPr>
              <w:t>对需求书</w:t>
            </w:r>
            <w:r>
              <w:rPr>
                <w:rFonts w:hint="eastAsia" w:ascii="宋体" w:hAnsi="宋体" w:cs="宋体"/>
                <w:color w:val="000000"/>
                <w:sz w:val="24"/>
                <w:szCs w:val="24"/>
              </w:rPr>
              <w:t>基本要求</w:t>
            </w:r>
            <w:r>
              <w:rPr>
                <w:rFonts w:ascii="宋体" w:hAnsi="宋体" w:cs="宋体"/>
                <w:color w:val="000000"/>
                <w:sz w:val="24"/>
                <w:szCs w:val="24"/>
              </w:rPr>
              <w:t>应答</w:t>
            </w:r>
          </w:p>
        </w:tc>
        <w:tc>
          <w:tcPr>
            <w:tcW w:w="522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000000"/>
                <w:sz w:val="24"/>
                <w:szCs w:val="24"/>
              </w:rPr>
            </w:pPr>
            <w:r>
              <w:rPr>
                <w:rFonts w:hint="eastAsia" w:ascii="宋体" w:hAnsi="宋体" w:cs="宋体"/>
                <w:color w:val="000000"/>
                <w:sz w:val="24"/>
                <w:szCs w:val="24"/>
              </w:rPr>
              <w:t>完全满足得</w:t>
            </w:r>
            <w:r>
              <w:rPr>
                <w:rFonts w:hint="eastAsia" w:ascii="宋体" w:hAnsi="宋体" w:cs="宋体"/>
                <w:color w:val="000000"/>
                <w:sz w:val="24"/>
                <w:szCs w:val="24"/>
                <w:lang w:val="en-US" w:eastAsia="zh-CN"/>
              </w:rPr>
              <w:t>8</w:t>
            </w:r>
            <w:r>
              <w:rPr>
                <w:rFonts w:hint="eastAsia" w:ascii="宋体" w:hAnsi="宋体" w:cs="宋体"/>
                <w:color w:val="000000"/>
                <w:sz w:val="24"/>
                <w:szCs w:val="24"/>
              </w:rPr>
              <w:t>分，每有一项条款负偏离扣减1分，本项最低得0分。</w:t>
            </w: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 w:type="dxa"/>
          <w:wAfter w:w="7" w:type="dxa"/>
          <w:trHeight w:val="538" w:hRule="atLeast"/>
          <w:jc w:val="center"/>
        </w:trPr>
        <w:tc>
          <w:tcPr>
            <w:tcW w:w="76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4</w:t>
            </w:r>
          </w:p>
        </w:tc>
        <w:tc>
          <w:tcPr>
            <w:tcW w:w="178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color w:val="000000"/>
                <w:sz w:val="24"/>
                <w:szCs w:val="24"/>
              </w:rPr>
            </w:pPr>
            <w:r>
              <w:rPr>
                <w:rFonts w:hint="eastAsia" w:ascii="宋体" w:hAnsi="宋体" w:cs="宋体"/>
                <w:color w:val="000000"/>
                <w:sz w:val="24"/>
                <w:szCs w:val="24"/>
              </w:rPr>
              <w:t>技术服务方案</w:t>
            </w:r>
          </w:p>
        </w:tc>
        <w:tc>
          <w:tcPr>
            <w:tcW w:w="522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color w:val="000000"/>
                <w:sz w:val="24"/>
                <w:szCs w:val="24"/>
              </w:rPr>
            </w:pPr>
            <w:r>
              <w:rPr>
                <w:rFonts w:hint="eastAsia" w:ascii="宋体" w:hAnsi="宋体" w:cs="宋体"/>
                <w:color w:val="000000"/>
                <w:sz w:val="24"/>
                <w:szCs w:val="24"/>
              </w:rPr>
              <w:t>投标人需针对本次项目提供完整的技术服务方案，方案中应包括但不限于：1）服务方案、2）故障解决方案、3）安全管理措施、4）应急情况处理等。</w:t>
            </w:r>
          </w:p>
          <w:p>
            <w:pPr>
              <w:numPr>
                <w:ilvl w:val="0"/>
                <w:numId w:val="1"/>
              </w:numPr>
              <w:adjustRightInd w:val="0"/>
              <w:snapToGrid w:val="0"/>
              <w:rPr>
                <w:rFonts w:ascii="宋体" w:hAnsi="宋体" w:cs="宋体"/>
                <w:color w:val="000000"/>
                <w:sz w:val="24"/>
                <w:szCs w:val="24"/>
              </w:rPr>
            </w:pPr>
            <w:r>
              <w:rPr>
                <w:rFonts w:hint="eastAsia" w:ascii="宋体" w:hAnsi="宋体" w:cs="宋体"/>
                <w:color w:val="000000"/>
                <w:sz w:val="24"/>
                <w:szCs w:val="24"/>
              </w:rPr>
              <w:t>方案阐述详细，内容完善合理，可行性强，得</w:t>
            </w:r>
            <w:r>
              <w:rPr>
                <w:rFonts w:hint="eastAsia" w:ascii="宋体" w:hAnsi="宋体" w:cs="宋体"/>
                <w:color w:val="000000"/>
                <w:sz w:val="24"/>
                <w:szCs w:val="24"/>
                <w:lang w:val="en-US" w:eastAsia="zh-CN"/>
              </w:rPr>
              <w:t>10</w:t>
            </w:r>
            <w:r>
              <w:rPr>
                <w:rFonts w:hint="eastAsia" w:ascii="宋体" w:hAnsi="宋体" w:cs="宋体"/>
                <w:color w:val="000000"/>
                <w:sz w:val="24"/>
                <w:szCs w:val="24"/>
              </w:rPr>
              <w:t>分。</w:t>
            </w:r>
          </w:p>
          <w:p>
            <w:pPr>
              <w:numPr>
                <w:ilvl w:val="0"/>
                <w:numId w:val="1"/>
              </w:numPr>
              <w:adjustRightInd w:val="0"/>
              <w:snapToGrid w:val="0"/>
              <w:rPr>
                <w:rFonts w:ascii="宋体" w:hAnsi="宋体" w:cs="宋体"/>
                <w:color w:val="000000"/>
                <w:sz w:val="24"/>
                <w:szCs w:val="24"/>
              </w:rPr>
            </w:pPr>
            <w:r>
              <w:rPr>
                <w:rFonts w:hint="eastAsia" w:ascii="宋体" w:hAnsi="宋体" w:cs="宋体"/>
                <w:color w:val="000000"/>
                <w:sz w:val="24"/>
                <w:szCs w:val="24"/>
              </w:rPr>
              <w:t>方案阐述完整，内容全面，具有可行性，得</w:t>
            </w:r>
            <w:r>
              <w:rPr>
                <w:rFonts w:hint="eastAsia" w:ascii="宋体" w:hAnsi="宋体" w:cs="宋体"/>
                <w:color w:val="000000"/>
                <w:sz w:val="24"/>
                <w:szCs w:val="24"/>
                <w:lang w:val="en-US" w:eastAsia="zh-CN"/>
              </w:rPr>
              <w:t>7</w:t>
            </w:r>
            <w:r>
              <w:rPr>
                <w:rFonts w:hint="eastAsia" w:ascii="宋体" w:hAnsi="宋体" w:cs="宋体"/>
                <w:color w:val="000000"/>
                <w:sz w:val="24"/>
                <w:szCs w:val="24"/>
              </w:rPr>
              <w:t>分。</w:t>
            </w:r>
          </w:p>
          <w:p>
            <w:pPr>
              <w:numPr>
                <w:ilvl w:val="0"/>
                <w:numId w:val="1"/>
              </w:numPr>
              <w:adjustRightInd w:val="0"/>
              <w:snapToGrid w:val="0"/>
              <w:rPr>
                <w:rFonts w:ascii="宋体" w:hAnsi="宋体" w:cs="宋体"/>
                <w:color w:val="000000"/>
                <w:sz w:val="24"/>
                <w:szCs w:val="24"/>
              </w:rPr>
            </w:pPr>
            <w:r>
              <w:rPr>
                <w:rFonts w:hint="eastAsia" w:ascii="宋体" w:hAnsi="宋体" w:cs="宋体"/>
                <w:color w:val="000000"/>
                <w:sz w:val="24"/>
                <w:szCs w:val="24"/>
              </w:rPr>
              <w:t>方案有缺项（＜</w:t>
            </w:r>
            <w:r>
              <w:rPr>
                <w:rFonts w:ascii="宋体" w:hAnsi="宋体" w:cs="宋体"/>
                <w:color w:val="000000"/>
                <w:sz w:val="24"/>
                <w:szCs w:val="24"/>
              </w:rPr>
              <w:t>2</w:t>
            </w:r>
            <w:r>
              <w:rPr>
                <w:rFonts w:hint="eastAsia" w:ascii="宋体" w:hAnsi="宋体" w:cs="宋体"/>
                <w:color w:val="000000"/>
                <w:sz w:val="24"/>
                <w:szCs w:val="24"/>
              </w:rPr>
              <w:t>项），内容简单或缺乏合理性，部分可行，得4分。</w:t>
            </w:r>
          </w:p>
          <w:p>
            <w:pPr>
              <w:numPr>
                <w:ilvl w:val="0"/>
                <w:numId w:val="1"/>
              </w:numPr>
              <w:adjustRightInd w:val="0"/>
              <w:snapToGrid w:val="0"/>
              <w:rPr>
                <w:rFonts w:ascii="宋体" w:hAnsi="宋体" w:cs="宋体"/>
                <w:color w:val="000000"/>
                <w:sz w:val="24"/>
                <w:szCs w:val="24"/>
              </w:rPr>
            </w:pPr>
            <w:r>
              <w:rPr>
                <w:rFonts w:hint="eastAsia" w:ascii="宋体" w:hAnsi="宋体" w:cs="宋体"/>
                <w:color w:val="000000"/>
                <w:sz w:val="24"/>
                <w:szCs w:val="24"/>
              </w:rPr>
              <w:t>方案有缺项（≥</w:t>
            </w:r>
            <w:r>
              <w:rPr>
                <w:rFonts w:ascii="宋体" w:hAnsi="宋体" w:cs="宋体"/>
                <w:color w:val="000000"/>
                <w:sz w:val="24"/>
                <w:szCs w:val="24"/>
              </w:rPr>
              <w:t>2</w:t>
            </w:r>
            <w:r>
              <w:rPr>
                <w:rFonts w:hint="eastAsia" w:ascii="宋体" w:hAnsi="宋体" w:cs="宋体"/>
                <w:color w:val="000000"/>
                <w:sz w:val="24"/>
                <w:szCs w:val="24"/>
              </w:rPr>
              <w:t>项），内容简单或缺乏合理性，不具有可行性，得</w:t>
            </w:r>
            <w:r>
              <w:rPr>
                <w:rFonts w:ascii="宋体" w:hAnsi="宋体" w:cs="宋体"/>
                <w:color w:val="000000"/>
                <w:sz w:val="24"/>
                <w:szCs w:val="24"/>
              </w:rPr>
              <w:t>1</w:t>
            </w:r>
            <w:r>
              <w:rPr>
                <w:rFonts w:hint="eastAsia" w:ascii="宋体" w:hAnsi="宋体" w:cs="宋体"/>
                <w:color w:val="000000"/>
                <w:sz w:val="24"/>
                <w:szCs w:val="24"/>
              </w:rPr>
              <w:t>分。</w:t>
            </w:r>
          </w:p>
          <w:p>
            <w:pPr>
              <w:numPr>
                <w:ilvl w:val="0"/>
                <w:numId w:val="1"/>
              </w:numPr>
              <w:adjustRightInd w:val="0"/>
              <w:snapToGrid w:val="0"/>
              <w:rPr>
                <w:rFonts w:ascii="宋体" w:hAnsi="宋体" w:cs="宋体"/>
                <w:color w:val="000000"/>
                <w:sz w:val="24"/>
                <w:szCs w:val="24"/>
              </w:rPr>
            </w:pPr>
            <w:r>
              <w:rPr>
                <w:rFonts w:hint="eastAsia" w:ascii="宋体" w:hAnsi="宋体" w:cs="宋体"/>
                <w:color w:val="000000"/>
                <w:sz w:val="24"/>
                <w:szCs w:val="24"/>
              </w:rPr>
              <w:t>未提供，得</w:t>
            </w:r>
            <w:r>
              <w:rPr>
                <w:rFonts w:ascii="宋体" w:hAnsi="宋体" w:cs="宋体"/>
                <w:color w:val="000000"/>
                <w:sz w:val="24"/>
                <w:szCs w:val="24"/>
              </w:rPr>
              <w:t>0</w:t>
            </w:r>
            <w:r>
              <w:rPr>
                <w:rFonts w:hint="eastAsia" w:ascii="宋体" w:hAnsi="宋体" w:cs="宋体"/>
                <w:color w:val="000000"/>
                <w:sz w:val="24"/>
                <w:szCs w:val="24"/>
              </w:rPr>
              <w:t>分。</w:t>
            </w:r>
          </w:p>
          <w:p>
            <w:pPr>
              <w:adjustRightInd w:val="0"/>
              <w:snapToGrid w:val="0"/>
              <w:rPr>
                <w:rFonts w:ascii="宋体" w:hAnsi="宋体" w:cs="宋体"/>
                <w:color w:val="000000"/>
                <w:sz w:val="24"/>
                <w:szCs w:val="24"/>
              </w:rPr>
            </w:pPr>
            <w:r>
              <w:rPr>
                <w:rFonts w:hint="eastAsia" w:ascii="宋体" w:hAnsi="宋体" w:cs="宋体"/>
                <w:color w:val="000000"/>
                <w:sz w:val="24"/>
                <w:szCs w:val="24"/>
              </w:rPr>
              <w:t>技术服务方案1）-</w:t>
            </w:r>
            <w:r>
              <w:rPr>
                <w:rFonts w:hint="eastAsia" w:ascii="宋体" w:hAnsi="宋体" w:cs="宋体"/>
                <w:color w:val="000000"/>
                <w:sz w:val="24"/>
                <w:szCs w:val="24"/>
                <w:lang w:val="en-US" w:eastAsia="zh-CN"/>
              </w:rPr>
              <w:t>4</w:t>
            </w:r>
            <w:r>
              <w:rPr>
                <w:rFonts w:hint="eastAsia" w:ascii="宋体" w:hAnsi="宋体" w:cs="宋体"/>
                <w:color w:val="000000"/>
                <w:sz w:val="24"/>
                <w:szCs w:val="24"/>
              </w:rPr>
              <w:t>）项分别按以上标准进行评审，本项最高得4</w:t>
            </w:r>
            <w:r>
              <w:rPr>
                <w:rFonts w:ascii="宋体" w:hAnsi="宋体" w:cs="宋体"/>
                <w:color w:val="000000"/>
                <w:sz w:val="24"/>
                <w:szCs w:val="24"/>
              </w:rPr>
              <w:t>0</w:t>
            </w:r>
            <w:r>
              <w:rPr>
                <w:rFonts w:hint="eastAsia" w:ascii="宋体" w:hAnsi="宋体" w:cs="宋体"/>
                <w:color w:val="000000"/>
                <w:sz w:val="24"/>
                <w:szCs w:val="24"/>
              </w:rPr>
              <w:t>分。</w:t>
            </w: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 w:type="dxa"/>
          <w:wAfter w:w="7" w:type="dxa"/>
          <w:trHeight w:val="1402" w:hRule="atLeast"/>
          <w:jc w:val="center"/>
        </w:trPr>
        <w:tc>
          <w:tcPr>
            <w:tcW w:w="76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5</w:t>
            </w:r>
          </w:p>
        </w:tc>
        <w:tc>
          <w:tcPr>
            <w:tcW w:w="1786" w:type="dxa"/>
            <w:tcBorders>
              <w:top w:val="single" w:color="auto" w:sz="4" w:space="0"/>
              <w:left w:val="single" w:color="auto" w:sz="4" w:space="0"/>
              <w:right w:val="single" w:color="auto" w:sz="4" w:space="0"/>
            </w:tcBorders>
            <w:noWrap/>
            <w:vAlign w:val="center"/>
          </w:tcPr>
          <w:p>
            <w:pPr>
              <w:adjustRightInd w:val="0"/>
              <w:snapToGrid w:val="0"/>
              <w:jc w:val="center"/>
              <w:rPr>
                <w:rFonts w:ascii="宋体" w:hAnsi="宋体" w:cs="Arial"/>
                <w:color w:val="000000"/>
                <w:sz w:val="24"/>
                <w:szCs w:val="24"/>
              </w:rPr>
            </w:pPr>
            <w:r>
              <w:rPr>
                <w:rFonts w:hint="eastAsia" w:ascii="宋体" w:hAnsi="宋体" w:cs="Arial"/>
                <w:color w:val="000000"/>
                <w:sz w:val="24"/>
                <w:szCs w:val="24"/>
              </w:rPr>
              <w:t>售后服务</w:t>
            </w:r>
          </w:p>
        </w:tc>
        <w:tc>
          <w:tcPr>
            <w:tcW w:w="5221" w:type="dxa"/>
            <w:gridSpan w:val="2"/>
            <w:tcBorders>
              <w:top w:val="single" w:color="auto" w:sz="4" w:space="0"/>
              <w:left w:val="single" w:color="auto" w:sz="4" w:space="0"/>
              <w:right w:val="single" w:color="auto" w:sz="4" w:space="0"/>
            </w:tcBorders>
            <w:noWrap/>
            <w:vAlign w:val="center"/>
          </w:tcPr>
          <w:p>
            <w:pPr>
              <w:spacing w:line="280" w:lineRule="exact"/>
              <w:rPr>
                <w:rFonts w:ascii="宋体" w:hAnsi="宋体"/>
                <w:sz w:val="24"/>
                <w:szCs w:val="24"/>
              </w:rPr>
            </w:pPr>
            <w:r>
              <w:rPr>
                <w:rFonts w:hint="eastAsia" w:ascii="宋体" w:hAnsi="宋体"/>
                <w:sz w:val="24"/>
                <w:szCs w:val="24"/>
              </w:rPr>
              <w:t>投标人须为本项目提供网络客服人员。</w:t>
            </w:r>
          </w:p>
          <w:p>
            <w:pPr>
              <w:spacing w:line="280" w:lineRule="exact"/>
              <w:rPr>
                <w:rFonts w:ascii="宋体" w:hAnsi="宋体"/>
                <w:sz w:val="24"/>
                <w:szCs w:val="24"/>
              </w:rPr>
            </w:pPr>
            <w:r>
              <w:rPr>
                <w:rFonts w:hint="eastAsia" w:ascii="宋体" w:hAnsi="宋体"/>
                <w:sz w:val="24"/>
                <w:szCs w:val="24"/>
              </w:rPr>
              <w:t>所配备人员：</w:t>
            </w:r>
          </w:p>
          <w:p>
            <w:pPr>
              <w:numPr>
                <w:ilvl w:val="0"/>
                <w:numId w:val="2"/>
              </w:numPr>
              <w:spacing w:line="280" w:lineRule="exact"/>
              <w:rPr>
                <w:rFonts w:ascii="宋体" w:hAnsi="宋体"/>
                <w:sz w:val="24"/>
                <w:szCs w:val="24"/>
              </w:rPr>
            </w:pPr>
            <w:r>
              <w:rPr>
                <w:rFonts w:hint="eastAsia" w:ascii="宋体" w:hAnsi="宋体"/>
                <w:sz w:val="24"/>
                <w:szCs w:val="24"/>
              </w:rPr>
              <w:t>提供全年7×24小时远程技术支持服务。</w:t>
            </w:r>
          </w:p>
          <w:p>
            <w:pPr>
              <w:numPr>
                <w:ilvl w:val="0"/>
                <w:numId w:val="2"/>
              </w:numPr>
              <w:spacing w:line="280" w:lineRule="exact"/>
              <w:rPr>
                <w:rFonts w:ascii="宋体" w:hAnsi="宋体"/>
                <w:sz w:val="24"/>
                <w:szCs w:val="24"/>
              </w:rPr>
            </w:pPr>
            <w:r>
              <w:rPr>
                <w:rFonts w:hint="eastAsia" w:ascii="宋体" w:hAnsi="宋体"/>
                <w:sz w:val="24"/>
                <w:szCs w:val="24"/>
              </w:rPr>
              <w:t>遇到重大故障可以2小时内到达现场。</w:t>
            </w:r>
          </w:p>
          <w:p>
            <w:pPr>
              <w:numPr>
                <w:ilvl w:val="0"/>
                <w:numId w:val="2"/>
              </w:numPr>
              <w:spacing w:line="280" w:lineRule="exact"/>
              <w:rPr>
                <w:rFonts w:ascii="宋体" w:hAnsi="宋体"/>
                <w:sz w:val="24"/>
                <w:szCs w:val="24"/>
              </w:rPr>
            </w:pPr>
            <w:r>
              <w:rPr>
                <w:rFonts w:hint="eastAsia" w:ascii="宋体" w:hAnsi="宋体"/>
                <w:sz w:val="24"/>
                <w:szCs w:val="24"/>
              </w:rPr>
              <w:t>定期进行设备线路巡检。</w:t>
            </w:r>
          </w:p>
          <w:p>
            <w:pPr>
              <w:adjustRightInd w:val="0"/>
              <w:snapToGrid w:val="0"/>
              <w:rPr>
                <w:rFonts w:ascii="宋体" w:hAnsi="宋体"/>
                <w:color w:val="000000"/>
                <w:sz w:val="24"/>
                <w:szCs w:val="24"/>
              </w:rPr>
            </w:pPr>
            <w:r>
              <w:rPr>
                <w:rFonts w:hint="eastAsia" w:ascii="宋体" w:hAnsi="宋体"/>
                <w:sz w:val="24"/>
                <w:szCs w:val="24"/>
              </w:rPr>
              <w:t>以上项满足1项得5分，最高得15分。</w:t>
            </w:r>
          </w:p>
        </w:tc>
        <w:tc>
          <w:tcPr>
            <w:tcW w:w="1172" w:type="dxa"/>
            <w:gridSpan w:val="2"/>
            <w:tcBorders>
              <w:top w:val="single" w:color="auto" w:sz="4" w:space="0"/>
              <w:left w:val="single" w:color="auto" w:sz="4" w:space="0"/>
              <w:right w:val="single" w:color="auto" w:sz="4" w:space="0"/>
            </w:tcBorders>
            <w:noWrap/>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 w:type="dxa"/>
          <w:wAfter w:w="7" w:type="dxa"/>
          <w:trHeight w:val="538" w:hRule="atLeast"/>
          <w:jc w:val="center"/>
        </w:trPr>
        <w:tc>
          <w:tcPr>
            <w:tcW w:w="76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000000"/>
                <w:sz w:val="24"/>
                <w:szCs w:val="24"/>
              </w:rPr>
            </w:pPr>
            <w:r>
              <w:rPr>
                <w:rFonts w:hint="eastAsia" w:ascii="宋体" w:hAnsi="宋体"/>
                <w:color w:val="000000"/>
                <w:sz w:val="24"/>
                <w:szCs w:val="24"/>
              </w:rPr>
              <w:t>6</w:t>
            </w:r>
          </w:p>
        </w:tc>
        <w:tc>
          <w:tcPr>
            <w:tcW w:w="178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 w:val="24"/>
              </w:rPr>
            </w:pPr>
            <w:bookmarkStart w:id="1" w:name="OLE_LINK40"/>
            <w:r>
              <w:rPr>
                <w:rFonts w:ascii="宋体" w:hAnsi="宋体"/>
                <w:color w:val="000000"/>
                <w:sz w:val="24"/>
                <w:szCs w:val="24"/>
              </w:rPr>
              <w:t>报价</w:t>
            </w:r>
            <w:bookmarkEnd w:id="1"/>
          </w:p>
        </w:tc>
        <w:tc>
          <w:tcPr>
            <w:tcW w:w="522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olor w:val="000000"/>
                <w:sz w:val="24"/>
                <w:szCs w:val="24"/>
              </w:rPr>
            </w:pPr>
            <w:r>
              <w:rPr>
                <w:rFonts w:hint="eastAsia" w:ascii="宋体" w:hAnsi="宋体"/>
                <w:color w:val="000000"/>
                <w:sz w:val="24"/>
                <w:szCs w:val="24"/>
              </w:rPr>
              <w:t>满足采购文件实质性要求且最终价格最低的报价为评审基准价，其价格为满分。</w:t>
            </w:r>
          </w:p>
          <w:p>
            <w:pPr>
              <w:spacing w:line="280" w:lineRule="exact"/>
              <w:rPr>
                <w:rFonts w:ascii="宋体" w:hAnsi="宋体"/>
                <w:sz w:val="24"/>
                <w:szCs w:val="24"/>
              </w:rPr>
            </w:pPr>
            <w:r>
              <w:rPr>
                <w:rFonts w:hint="eastAsia" w:ascii="宋体" w:hAnsi="宋体"/>
                <w:color w:val="000000"/>
                <w:sz w:val="24"/>
                <w:szCs w:val="24"/>
              </w:rPr>
              <w:t>最终报价得分 =（评审基准价/最终报价）×</w:t>
            </w:r>
            <w:r>
              <w:rPr>
                <w:rFonts w:ascii="宋体" w:hAnsi="宋体"/>
                <w:color w:val="000000"/>
                <w:sz w:val="24"/>
                <w:szCs w:val="24"/>
              </w:rPr>
              <w:t>20</w:t>
            </w:r>
            <w:r>
              <w:rPr>
                <w:rFonts w:hint="eastAsia" w:ascii="宋体" w:hAnsi="宋体"/>
                <w:color w:val="000000"/>
                <w:sz w:val="24"/>
                <w:szCs w:val="24"/>
              </w:rPr>
              <w:t>，</w:t>
            </w:r>
            <w:r>
              <w:rPr>
                <w:rFonts w:ascii="宋体" w:hAnsi="宋体"/>
                <w:color w:val="000000"/>
                <w:sz w:val="24"/>
                <w:szCs w:val="24"/>
              </w:rPr>
              <w:t>报价得分保留到小数点后</w:t>
            </w:r>
            <w:r>
              <w:rPr>
                <w:rFonts w:hint="eastAsia" w:ascii="宋体" w:hAnsi="宋体"/>
                <w:color w:val="000000"/>
                <w:sz w:val="24"/>
                <w:szCs w:val="24"/>
              </w:rPr>
              <w:t>2位。</w:t>
            </w:r>
          </w:p>
        </w:tc>
        <w:tc>
          <w:tcPr>
            <w:tcW w:w="1172"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olor w:val="000000"/>
                <w:sz w:val="24"/>
                <w:szCs w:val="24"/>
              </w:rPr>
            </w:pPr>
            <w:r>
              <w:rPr>
                <w:rFonts w:ascii="宋体" w:hAnsi="宋体"/>
                <w:color w:val="00000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 w:type="dxa"/>
          <w:wAfter w:w="7" w:type="dxa"/>
          <w:trHeight w:val="408" w:hRule="atLeast"/>
          <w:jc w:val="center"/>
        </w:trPr>
        <w:tc>
          <w:tcPr>
            <w:tcW w:w="8945" w:type="dxa"/>
            <w:gridSpan w:val="6"/>
            <w:noWrap/>
            <w:vAlign w:val="center"/>
          </w:tcPr>
          <w:p>
            <w:pPr>
              <w:adjustRightInd w:val="0"/>
              <w:snapToGrid w:val="0"/>
              <w:rPr>
                <w:rFonts w:ascii="宋体" w:hAnsi="宋体"/>
                <w:color w:val="000000"/>
                <w:sz w:val="24"/>
                <w:szCs w:val="24"/>
              </w:rPr>
            </w:pPr>
            <w:r>
              <w:rPr>
                <w:rFonts w:ascii="宋体" w:hAnsi="宋体"/>
                <w:color w:val="000000"/>
                <w:sz w:val="24"/>
                <w:szCs w:val="24"/>
              </w:rPr>
              <w:t>合计得分:100分</w:t>
            </w:r>
          </w:p>
        </w:tc>
      </w:tr>
    </w:tbl>
    <w:p/>
    <w:sectPr>
      <w:pgSz w:w="11906" w:h="16838"/>
      <w:pgMar w:top="1134"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63F4DB"/>
    <w:multiLevelType w:val="singleLevel"/>
    <w:tmpl w:val="9F63F4DB"/>
    <w:lvl w:ilvl="0" w:tentative="0">
      <w:start w:val="1"/>
      <w:numFmt w:val="decimal"/>
      <w:lvlText w:val="%1)"/>
      <w:lvlJc w:val="left"/>
    </w:lvl>
  </w:abstractNum>
  <w:abstractNum w:abstractNumId="1">
    <w:nsid w:val="685313B2"/>
    <w:multiLevelType w:val="multilevel"/>
    <w:tmpl w:val="685313B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Q1ZjVhYmIwNWU1MTZiOGI2ODMyMTgxYzZmNTAyOWIifQ=="/>
  </w:docVars>
  <w:rsids>
    <w:rsidRoot w:val="00A3650C"/>
    <w:rsid w:val="000B6B4C"/>
    <w:rsid w:val="005064EA"/>
    <w:rsid w:val="005F19E9"/>
    <w:rsid w:val="006053CF"/>
    <w:rsid w:val="00794145"/>
    <w:rsid w:val="00837CA9"/>
    <w:rsid w:val="009F2D7B"/>
    <w:rsid w:val="00A3650C"/>
    <w:rsid w:val="00C04FE6"/>
    <w:rsid w:val="00E56B9C"/>
    <w:rsid w:val="00E6457C"/>
    <w:rsid w:val="00F34C60"/>
    <w:rsid w:val="00F5577C"/>
    <w:rsid w:val="00FA3BAC"/>
    <w:rsid w:val="0C0E7959"/>
    <w:rsid w:val="185A2D62"/>
    <w:rsid w:val="269F18D3"/>
    <w:rsid w:val="2E1C1713"/>
    <w:rsid w:val="3532426D"/>
    <w:rsid w:val="50AD0776"/>
    <w:rsid w:val="5C8D7F84"/>
    <w:rsid w:val="66C169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alloon Text"/>
    <w:basedOn w:val="1"/>
    <w:link w:val="9"/>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qFormat/>
    <w:uiPriority w:val="0"/>
    <w:rPr>
      <w:sz w:val="21"/>
      <w:szCs w:val="21"/>
    </w:rPr>
  </w:style>
  <w:style w:type="character" w:customStyle="1" w:styleId="9">
    <w:name w:val="批注框文本 Char"/>
    <w:basedOn w:val="7"/>
    <w:link w:val="3"/>
    <w:qFormat/>
    <w:uiPriority w:val="0"/>
    <w:rPr>
      <w:rFonts w:ascii="Times New Roman" w:hAnsi="Times New Roman" w:eastAsia="宋体" w:cs="Times New Roman"/>
      <w:kern w:val="2"/>
      <w:sz w:val="18"/>
      <w:szCs w:val="18"/>
    </w:rPr>
  </w:style>
  <w:style w:type="character" w:customStyle="1" w:styleId="10">
    <w:name w:val="页眉 Char"/>
    <w:basedOn w:val="7"/>
    <w:link w:val="5"/>
    <w:qFormat/>
    <w:uiPriority w:val="0"/>
    <w:rPr>
      <w:rFonts w:ascii="Times New Roman" w:hAnsi="Times New Roman" w:eastAsia="宋体" w:cs="Times New Roman"/>
      <w:kern w:val="2"/>
      <w:sz w:val="18"/>
      <w:szCs w:val="18"/>
    </w:rPr>
  </w:style>
  <w:style w:type="character" w:customStyle="1" w:styleId="11">
    <w:name w:val="页脚 Char"/>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672</Words>
  <Characters>693</Characters>
  <Lines>6</Lines>
  <Paragraphs>1</Paragraphs>
  <TotalTime>32</TotalTime>
  <ScaleCrop>false</ScaleCrop>
  <LinksUpToDate>false</LinksUpToDate>
  <CharactersWithSpaces>694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2022-10-28T07:25:00Z</dcterms:created>
  <dc:creator>68324</dc:creator>
  <cp:lastModifiedBy>Acer</cp:lastModifiedBy>
  <dcterms:modified xsi:type="dcterms:W3CDTF">2022-10-31T03:15:45Z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31890861EE9B413E85E37E5DB125BE9B</vt:lpwstr>
  </property>
</Properties>
</file>