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b/>
          <w:color w:val="000000"/>
          <w:sz w:val="24"/>
          <w:szCs w:val="24"/>
        </w:rPr>
      </w:pPr>
      <w:r>
        <w:rPr>
          <w:rFonts w:hint="eastAsia" w:ascii="宋体" w:hAnsi="宋体"/>
          <w:b/>
          <w:color w:val="000000"/>
          <w:sz w:val="24"/>
          <w:szCs w:val="24"/>
        </w:rPr>
        <w:t>评标细则</w:t>
      </w:r>
    </w:p>
    <w:p>
      <w:pPr>
        <w:spacing w:line="520" w:lineRule="exact"/>
        <w:jc w:val="left"/>
        <w:rPr>
          <w:rFonts w:ascii="宋体" w:hAnsi="宋体"/>
          <w:b/>
          <w:color w:val="000000"/>
          <w:sz w:val="24"/>
          <w:szCs w:val="24"/>
        </w:rPr>
      </w:pPr>
      <w:r>
        <w:rPr>
          <w:rFonts w:hint="eastAsia" w:ascii="宋体" w:hAnsi="宋体"/>
          <w:b/>
          <w:color w:val="000000"/>
          <w:sz w:val="24"/>
          <w:szCs w:val="24"/>
        </w:rPr>
        <w:t>一、总则</w:t>
      </w:r>
    </w:p>
    <w:p>
      <w:pPr>
        <w:keepNext w:val="0"/>
        <w:keepLines w:val="0"/>
        <w:pageBreakBefore w:val="0"/>
        <w:widowControl w:val="0"/>
        <w:kinsoku/>
        <w:wordWrap/>
        <w:overflowPunct/>
        <w:topLinePunct w:val="0"/>
        <w:autoSpaceDE/>
        <w:autoSpaceDN/>
        <w:bidi w:val="0"/>
        <w:adjustRightInd/>
        <w:snapToGrid/>
        <w:spacing w:line="360" w:lineRule="exact"/>
        <w:ind w:firstLine="482"/>
        <w:textAlignment w:val="auto"/>
        <w:rPr>
          <w:rFonts w:hint="eastAsia" w:ascii="宋体" w:hAnsi="宋体"/>
          <w:color w:val="000000"/>
          <w:sz w:val="24"/>
          <w:szCs w:val="24"/>
        </w:rPr>
      </w:pPr>
      <w:r>
        <w:rPr>
          <w:rFonts w:hint="eastAsia" w:ascii="宋体" w:hAnsi="宋体"/>
          <w:color w:val="000000"/>
          <w:sz w:val="24"/>
          <w:szCs w:val="24"/>
        </w:rPr>
        <w:t>评标委员会将仅对在实质上响应论证要求的论证文件进行评价和比较。论证文件的评价采用综合评分法，评分按商务、</w:t>
      </w:r>
      <w:r>
        <w:rPr>
          <w:rFonts w:hint="eastAsia" w:ascii="宋体" w:hAnsi="宋体"/>
          <w:color w:val="000000"/>
          <w:sz w:val="24"/>
          <w:szCs w:val="24"/>
          <w:lang w:eastAsia="zh-CN"/>
        </w:rPr>
        <w:t>施工组织设计和报价三</w:t>
      </w:r>
      <w:r>
        <w:rPr>
          <w:rFonts w:hint="eastAsia" w:ascii="宋体" w:hAnsi="宋体"/>
          <w:color w:val="000000"/>
          <w:sz w:val="24"/>
          <w:szCs w:val="24"/>
        </w:rPr>
        <w:t>部分分别打分的方式进行。满分为100分。</w:t>
      </w:r>
    </w:p>
    <w:p>
      <w:pPr>
        <w:spacing w:line="520" w:lineRule="exact"/>
        <w:jc w:val="left"/>
        <w:rPr>
          <w:rFonts w:hint="eastAsia" w:ascii="宋体" w:hAnsi="宋体"/>
          <w:b/>
          <w:color w:val="000000"/>
          <w:sz w:val="24"/>
          <w:szCs w:val="24"/>
          <w:lang w:eastAsia="zh-CN"/>
        </w:rPr>
      </w:pPr>
      <w:r>
        <w:rPr>
          <w:rFonts w:hint="eastAsia" w:ascii="宋体" w:hAnsi="宋体"/>
          <w:b/>
          <w:color w:val="000000"/>
          <w:sz w:val="24"/>
          <w:szCs w:val="24"/>
          <w:lang w:eastAsia="zh-CN"/>
        </w:rPr>
        <w:t>二、评分细则</w:t>
      </w:r>
    </w:p>
    <w:p>
      <w:pPr>
        <w:pStyle w:val="2"/>
        <w:rPr>
          <w:rFonts w:hint="eastAsia" w:eastAsia="宋体"/>
          <w:lang w:eastAsia="zh-CN"/>
        </w:rPr>
      </w:pPr>
    </w:p>
    <w:tbl>
      <w:tblPr>
        <w:tblStyle w:val="5"/>
        <w:tblpPr w:leftFromText="180" w:rightFromText="180" w:vertAnchor="page" w:horzAnchor="page" w:tblpX="1527" w:tblpY="4203"/>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304"/>
        <w:gridCol w:w="6304"/>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blHeader/>
        </w:trPr>
        <w:tc>
          <w:tcPr>
            <w:tcW w:w="811" w:type="dxa"/>
            <w:vAlign w:val="center"/>
          </w:tcPr>
          <w:p>
            <w:pPr>
              <w:jc w:val="center"/>
              <w:rPr>
                <w:rFonts w:hint="eastAsia" w:ascii="宋体" w:hAnsi="宋体" w:eastAsia="宋体" w:cs="宋体"/>
                <w:b/>
                <w:bCs/>
                <w:snapToGrid w:val="0"/>
                <w:kern w:val="0"/>
                <w:sz w:val="24"/>
                <w:szCs w:val="24"/>
              </w:rPr>
            </w:pPr>
            <w:r>
              <w:rPr>
                <w:rFonts w:hint="eastAsia" w:ascii="宋体" w:hAnsi="宋体" w:eastAsia="宋体" w:cs="宋体"/>
                <w:b/>
                <w:bCs/>
                <w:snapToGrid w:val="0"/>
                <w:kern w:val="0"/>
                <w:sz w:val="24"/>
                <w:szCs w:val="24"/>
              </w:rPr>
              <w:t>评审</w:t>
            </w:r>
          </w:p>
          <w:p>
            <w:pPr>
              <w:jc w:val="center"/>
              <w:rPr>
                <w:rFonts w:hint="eastAsia" w:ascii="宋体" w:hAnsi="宋体" w:eastAsia="宋体" w:cs="宋体"/>
                <w:b/>
                <w:bCs/>
                <w:snapToGrid w:val="0"/>
                <w:kern w:val="0"/>
                <w:sz w:val="24"/>
                <w:szCs w:val="24"/>
              </w:rPr>
            </w:pPr>
            <w:r>
              <w:rPr>
                <w:rFonts w:hint="eastAsia" w:ascii="宋体" w:hAnsi="宋体" w:eastAsia="宋体" w:cs="宋体"/>
                <w:b/>
                <w:bCs/>
                <w:snapToGrid w:val="0"/>
                <w:kern w:val="0"/>
                <w:sz w:val="24"/>
                <w:szCs w:val="24"/>
              </w:rPr>
              <w:t>项目</w:t>
            </w:r>
          </w:p>
        </w:tc>
        <w:tc>
          <w:tcPr>
            <w:tcW w:w="1304" w:type="dxa"/>
            <w:vAlign w:val="center"/>
          </w:tcPr>
          <w:p>
            <w:pPr>
              <w:jc w:val="center"/>
              <w:rPr>
                <w:rFonts w:hint="eastAsia" w:ascii="宋体" w:hAnsi="宋体" w:eastAsia="宋体" w:cs="宋体"/>
                <w:b/>
                <w:bCs/>
                <w:snapToGrid w:val="0"/>
                <w:kern w:val="0"/>
                <w:sz w:val="24"/>
                <w:szCs w:val="24"/>
              </w:rPr>
            </w:pPr>
            <w:r>
              <w:rPr>
                <w:rFonts w:hint="eastAsia" w:ascii="宋体" w:hAnsi="宋体" w:eastAsia="宋体" w:cs="宋体"/>
                <w:b/>
                <w:bCs/>
                <w:snapToGrid w:val="0"/>
                <w:kern w:val="0"/>
                <w:sz w:val="24"/>
                <w:szCs w:val="24"/>
              </w:rPr>
              <w:t>评审内容</w:t>
            </w:r>
          </w:p>
        </w:tc>
        <w:tc>
          <w:tcPr>
            <w:tcW w:w="6304" w:type="dxa"/>
            <w:vAlign w:val="center"/>
          </w:tcPr>
          <w:p>
            <w:pPr>
              <w:jc w:val="center"/>
              <w:rPr>
                <w:rFonts w:hint="eastAsia" w:ascii="宋体" w:hAnsi="宋体" w:eastAsia="宋体" w:cs="宋体"/>
                <w:b/>
                <w:bCs/>
                <w:snapToGrid w:val="0"/>
                <w:kern w:val="0"/>
                <w:sz w:val="24"/>
                <w:szCs w:val="24"/>
              </w:rPr>
            </w:pPr>
            <w:r>
              <w:rPr>
                <w:rFonts w:hint="eastAsia" w:ascii="宋体" w:hAnsi="宋体" w:eastAsia="宋体" w:cs="宋体"/>
                <w:b/>
                <w:bCs/>
                <w:snapToGrid w:val="0"/>
                <w:kern w:val="0"/>
                <w:sz w:val="24"/>
                <w:szCs w:val="24"/>
              </w:rPr>
              <w:t>评审标准</w:t>
            </w:r>
          </w:p>
        </w:tc>
        <w:tc>
          <w:tcPr>
            <w:tcW w:w="826" w:type="dxa"/>
            <w:vAlign w:val="center"/>
          </w:tcPr>
          <w:p>
            <w:pPr>
              <w:jc w:val="center"/>
              <w:rPr>
                <w:rFonts w:hint="eastAsia" w:ascii="宋体" w:hAnsi="宋体" w:eastAsia="宋体" w:cs="宋体"/>
                <w:b/>
                <w:bCs/>
                <w:snapToGrid w:val="0"/>
                <w:kern w:val="0"/>
                <w:sz w:val="24"/>
                <w:szCs w:val="24"/>
              </w:rPr>
            </w:pPr>
            <w:r>
              <w:rPr>
                <w:rFonts w:hint="eastAsia" w:ascii="宋体" w:hAnsi="宋体" w:eastAsia="宋体" w:cs="宋体"/>
                <w:b/>
                <w:bCs/>
                <w:snapToGrid w:val="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trPr>
        <w:tc>
          <w:tcPr>
            <w:tcW w:w="811" w:type="dxa"/>
            <w:vMerge w:val="restart"/>
            <w:vAlign w:val="center"/>
          </w:tcPr>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商务</w:t>
            </w:r>
          </w:p>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部分</w:t>
            </w:r>
          </w:p>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w:t>
            </w:r>
            <w:r>
              <w:rPr>
                <w:rFonts w:hint="eastAsia" w:ascii="宋体" w:hAnsi="宋体" w:cs="宋体"/>
                <w:snapToGrid w:val="0"/>
                <w:kern w:val="0"/>
                <w:sz w:val="24"/>
                <w:szCs w:val="24"/>
                <w:lang w:val="en-US" w:eastAsia="zh-CN"/>
              </w:rPr>
              <w:t>30</w:t>
            </w:r>
            <w:r>
              <w:rPr>
                <w:rFonts w:hint="eastAsia" w:ascii="宋体" w:hAnsi="宋体" w:eastAsia="宋体" w:cs="宋体"/>
                <w:snapToGrid w:val="0"/>
                <w:kern w:val="0"/>
                <w:sz w:val="24"/>
                <w:szCs w:val="24"/>
              </w:rPr>
              <w:t>分）</w:t>
            </w:r>
          </w:p>
        </w:tc>
        <w:tc>
          <w:tcPr>
            <w:tcW w:w="1304" w:type="dxa"/>
            <w:vAlign w:val="center"/>
          </w:tcPr>
          <w:p>
            <w:pPr>
              <w:adjustRightInd w:val="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业绩</w:t>
            </w:r>
          </w:p>
        </w:tc>
        <w:tc>
          <w:tcPr>
            <w:tcW w:w="6304" w:type="dxa"/>
            <w:vAlign w:val="center"/>
          </w:tcPr>
          <w:p>
            <w:pPr>
              <w:rPr>
                <w:rFonts w:hint="eastAsia" w:ascii="宋体" w:hAnsi="宋体" w:eastAsia="宋体" w:cs="宋体"/>
                <w:snapToGrid w:val="0"/>
                <w:kern w:val="0"/>
                <w:sz w:val="24"/>
                <w:szCs w:val="24"/>
              </w:rPr>
            </w:pPr>
            <w:r>
              <w:rPr>
                <w:rFonts w:hint="eastAsia" w:ascii="宋体" w:hAnsi="宋体" w:eastAsia="宋体" w:cs="宋体"/>
                <w:color w:val="000000"/>
                <w:kern w:val="0"/>
                <w:sz w:val="24"/>
                <w:szCs w:val="24"/>
              </w:rPr>
              <w:t>投标人自</w:t>
            </w:r>
            <w:r>
              <w:rPr>
                <w:rFonts w:hint="eastAsia" w:ascii="宋体" w:hAnsi="宋体" w:eastAsia="宋体" w:cs="宋体"/>
                <w:color w:val="auto"/>
                <w:kern w:val="0"/>
                <w:sz w:val="24"/>
                <w:szCs w:val="24"/>
              </w:rPr>
              <w:t>2</w:t>
            </w:r>
            <w:r>
              <w:rPr>
                <w:rFonts w:hint="eastAsia" w:ascii="宋体" w:hAnsi="宋体" w:cs="宋体"/>
                <w:color w:val="auto"/>
                <w:kern w:val="0"/>
                <w:sz w:val="24"/>
                <w:szCs w:val="24"/>
                <w:lang w:val="en-US" w:eastAsia="zh-CN"/>
              </w:rPr>
              <w:t>020</w:t>
            </w:r>
            <w:r>
              <w:rPr>
                <w:rFonts w:hint="eastAsia" w:ascii="宋体" w:hAnsi="宋体" w:eastAsia="宋体" w:cs="宋体"/>
                <w:color w:val="auto"/>
                <w:kern w:val="0"/>
                <w:sz w:val="24"/>
                <w:szCs w:val="24"/>
              </w:rPr>
              <w:t>年</w:t>
            </w:r>
            <w:r>
              <w:rPr>
                <w:rFonts w:hint="eastAsia" w:ascii="宋体" w:hAnsi="宋体" w:cs="宋体"/>
                <w:color w:val="auto"/>
                <w:kern w:val="0"/>
                <w:sz w:val="24"/>
                <w:szCs w:val="24"/>
                <w:lang w:val="en-US" w:eastAsia="zh-CN"/>
              </w:rPr>
              <w:t>1月</w:t>
            </w:r>
            <w:r>
              <w:rPr>
                <w:rFonts w:hint="eastAsia" w:ascii="宋体" w:hAnsi="宋体" w:eastAsia="宋体" w:cs="宋体"/>
                <w:color w:val="auto"/>
                <w:kern w:val="0"/>
                <w:sz w:val="24"/>
                <w:szCs w:val="24"/>
              </w:rPr>
              <w:t>至今已承接的类似</w:t>
            </w:r>
            <w:r>
              <w:rPr>
                <w:rFonts w:hint="eastAsia" w:ascii="宋体" w:hAnsi="宋体" w:eastAsia="宋体" w:cs="宋体"/>
                <w:color w:val="auto"/>
                <w:kern w:val="0"/>
                <w:sz w:val="24"/>
                <w:szCs w:val="24"/>
                <w:lang w:val="en-US" w:eastAsia="zh-CN"/>
              </w:rPr>
              <w:t>加固改造</w:t>
            </w:r>
            <w:r>
              <w:rPr>
                <w:rFonts w:hint="eastAsia" w:ascii="宋体" w:hAnsi="宋体" w:eastAsia="宋体" w:cs="宋体"/>
                <w:color w:val="auto"/>
                <w:kern w:val="0"/>
                <w:sz w:val="24"/>
                <w:szCs w:val="24"/>
              </w:rPr>
              <w:t>项目，每一项类似业绩得</w:t>
            </w: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rPr>
              <w:t>分</w:t>
            </w:r>
            <w:r>
              <w:rPr>
                <w:rFonts w:hint="eastAsia" w:ascii="宋体" w:hAnsi="宋体" w:eastAsia="宋体" w:cs="宋体"/>
                <w:color w:val="000000"/>
                <w:kern w:val="0"/>
                <w:sz w:val="24"/>
                <w:szCs w:val="24"/>
              </w:rPr>
              <w:t>，最高得</w:t>
            </w:r>
            <w:r>
              <w:rPr>
                <w:rFonts w:hint="eastAsia" w:ascii="宋体" w:hAnsi="宋体" w:eastAsia="宋体" w:cs="宋体"/>
                <w:color w:val="000000"/>
                <w:kern w:val="0"/>
                <w:sz w:val="24"/>
                <w:szCs w:val="24"/>
                <w:lang w:val="en-US" w:eastAsia="zh-CN"/>
              </w:rPr>
              <w:t>15</w:t>
            </w:r>
            <w:r>
              <w:rPr>
                <w:rFonts w:hint="eastAsia" w:ascii="宋体" w:hAnsi="宋体" w:eastAsia="宋体" w:cs="宋体"/>
                <w:color w:val="000000"/>
                <w:kern w:val="0"/>
                <w:sz w:val="24"/>
                <w:szCs w:val="24"/>
              </w:rPr>
              <w:t>分。</w:t>
            </w:r>
            <w:r>
              <w:rPr>
                <w:rFonts w:hint="eastAsia" w:ascii="宋体" w:hAnsi="宋体" w:eastAsia="宋体" w:cs="宋体"/>
                <w:color w:val="000000"/>
                <w:sz w:val="24"/>
                <w:szCs w:val="24"/>
              </w:rPr>
              <w:t>注：以上项目须提供合同以下相关部分复印件，包括首页、签署盖章页、显示上述内容的相关页。未提供则不得分。</w:t>
            </w:r>
          </w:p>
        </w:tc>
        <w:tc>
          <w:tcPr>
            <w:tcW w:w="826" w:type="dxa"/>
            <w:vAlign w:val="center"/>
          </w:tcPr>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811" w:type="dxa"/>
            <w:vMerge w:val="continue"/>
            <w:vAlign w:val="center"/>
          </w:tcPr>
          <w:p>
            <w:pPr>
              <w:jc w:val="center"/>
              <w:rPr>
                <w:rFonts w:hint="eastAsia" w:ascii="宋体" w:hAnsi="宋体" w:eastAsia="宋体" w:cs="宋体"/>
                <w:snapToGrid w:val="0"/>
                <w:kern w:val="0"/>
                <w:sz w:val="24"/>
                <w:szCs w:val="24"/>
              </w:rPr>
            </w:pPr>
          </w:p>
        </w:tc>
        <w:tc>
          <w:tcPr>
            <w:tcW w:w="1304" w:type="dxa"/>
            <w:vAlign w:val="center"/>
          </w:tcPr>
          <w:p>
            <w:pPr>
              <w:adjustRightInd w:val="0"/>
              <w:jc w:val="center"/>
              <w:rPr>
                <w:rFonts w:hint="eastAsia" w:ascii="宋体" w:hAnsi="宋体" w:eastAsia="宋体" w:cs="宋体"/>
                <w:snapToGrid w:val="0"/>
                <w:kern w:val="0"/>
                <w:sz w:val="24"/>
                <w:szCs w:val="24"/>
              </w:rPr>
            </w:pPr>
            <w:r>
              <w:rPr>
                <w:rFonts w:hint="eastAsia" w:ascii="宋体" w:hAnsi="宋体" w:cs="宋体"/>
                <w:snapToGrid w:val="0"/>
                <w:kern w:val="0"/>
                <w:sz w:val="24"/>
                <w:szCs w:val="24"/>
                <w:lang w:eastAsia="zh-CN"/>
              </w:rPr>
              <w:t>现场考察</w:t>
            </w:r>
          </w:p>
        </w:tc>
        <w:tc>
          <w:tcPr>
            <w:tcW w:w="6304" w:type="dxa"/>
            <w:vAlign w:val="center"/>
          </w:tcPr>
          <w:p>
            <w:pPr>
              <w:rPr>
                <w:rFonts w:hint="default" w:ascii="宋体" w:hAnsi="宋体" w:eastAsia="宋体" w:cs="宋体"/>
                <w:snapToGrid w:val="0"/>
                <w:kern w:val="0"/>
                <w:sz w:val="24"/>
                <w:szCs w:val="24"/>
                <w:lang w:val="en-US" w:eastAsia="zh-CN"/>
              </w:rPr>
            </w:pPr>
            <w:r>
              <w:rPr>
                <w:rFonts w:hint="eastAsia" w:ascii="宋体" w:hAnsi="宋体" w:cs="宋体"/>
                <w:snapToGrid w:val="0"/>
                <w:kern w:val="0"/>
                <w:sz w:val="24"/>
                <w:szCs w:val="24"/>
                <w:lang w:eastAsia="zh-CN"/>
              </w:rPr>
              <w:t>参加现场考察得</w:t>
            </w:r>
            <w:r>
              <w:rPr>
                <w:rFonts w:hint="eastAsia" w:ascii="宋体" w:hAnsi="宋体" w:cs="宋体"/>
                <w:snapToGrid w:val="0"/>
                <w:kern w:val="0"/>
                <w:sz w:val="24"/>
                <w:szCs w:val="24"/>
                <w:lang w:val="en-US" w:eastAsia="zh-CN"/>
              </w:rPr>
              <w:t>5分，未参加得0分（依据现场考察签到表）</w:t>
            </w:r>
          </w:p>
        </w:tc>
        <w:tc>
          <w:tcPr>
            <w:tcW w:w="826" w:type="dxa"/>
            <w:vAlign w:val="center"/>
          </w:tcPr>
          <w:p>
            <w:pPr>
              <w:jc w:val="center"/>
              <w:rPr>
                <w:rFonts w:hint="eastAsia" w:ascii="宋体" w:hAnsi="宋体" w:eastAsia="宋体" w:cs="宋体"/>
                <w:snapToGrid w:val="0"/>
                <w:kern w:val="0"/>
                <w:sz w:val="24"/>
                <w:szCs w:val="24"/>
                <w:lang w:eastAsia="zh-CN"/>
              </w:rPr>
            </w:pPr>
            <w:r>
              <w:rPr>
                <w:rFonts w:hint="eastAsia" w:ascii="宋体" w:hAnsi="宋体" w:cs="宋体"/>
                <w:snapToGrid w:val="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811" w:type="dxa"/>
            <w:vMerge w:val="continue"/>
            <w:vAlign w:val="center"/>
          </w:tcPr>
          <w:p>
            <w:pPr>
              <w:jc w:val="center"/>
              <w:rPr>
                <w:rFonts w:hint="eastAsia" w:ascii="宋体" w:hAnsi="宋体" w:eastAsia="宋体" w:cs="宋体"/>
                <w:sz w:val="24"/>
                <w:szCs w:val="24"/>
                <w:lang w:val="en-US" w:eastAsia="zh-CN"/>
              </w:rPr>
            </w:pPr>
          </w:p>
        </w:tc>
        <w:tc>
          <w:tcPr>
            <w:tcW w:w="1304" w:type="dxa"/>
            <w:vAlign w:val="center"/>
          </w:tcPr>
          <w:p>
            <w:pPr>
              <w:adjustRightInd w:val="0"/>
              <w:jc w:val="center"/>
              <w:rPr>
                <w:rFonts w:hint="eastAsia" w:ascii="宋体" w:hAnsi="宋体" w:eastAsia="宋体" w:cs="宋体"/>
                <w:sz w:val="24"/>
                <w:szCs w:val="24"/>
                <w:lang w:eastAsia="zh-CN"/>
              </w:rPr>
            </w:pPr>
            <w:r>
              <w:rPr>
                <w:rFonts w:hint="eastAsia" w:ascii="宋体" w:hAnsi="宋体" w:eastAsia="宋体" w:cs="宋体"/>
                <w:snapToGrid w:val="0"/>
                <w:kern w:val="0"/>
                <w:sz w:val="24"/>
                <w:szCs w:val="24"/>
                <w:lang w:val="en-US" w:eastAsia="zh-CN"/>
              </w:rPr>
              <w:t>认证证书</w:t>
            </w:r>
          </w:p>
        </w:tc>
        <w:tc>
          <w:tcPr>
            <w:tcW w:w="6304" w:type="dxa"/>
            <w:vAlign w:val="center"/>
          </w:tcPr>
          <w:p>
            <w:pPr>
              <w:rPr>
                <w:rFonts w:hint="default"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eastAsia="zh-CN"/>
              </w:rPr>
              <w:t>具备</w:t>
            </w:r>
            <w:r>
              <w:rPr>
                <w:rFonts w:hint="eastAsia" w:ascii="宋体" w:hAnsi="宋体" w:eastAsia="宋体" w:cs="宋体"/>
                <w:snapToGrid w:val="0"/>
                <w:kern w:val="0"/>
                <w:sz w:val="24"/>
                <w:szCs w:val="24"/>
                <w:lang w:val="en-US" w:eastAsia="zh-CN"/>
              </w:rPr>
              <w:t>ISO体系认证</w:t>
            </w:r>
            <w:r>
              <w:rPr>
                <w:rFonts w:hint="eastAsia" w:ascii="微软雅黑" w:hAnsi="微软雅黑"/>
                <w:sz w:val="24"/>
                <w:szCs w:val="24"/>
              </w:rPr>
              <w:t>有效的质量管理体系（</w:t>
            </w:r>
            <w:r>
              <w:rPr>
                <w:rFonts w:hint="eastAsia"/>
                <w:sz w:val="24"/>
                <w:szCs w:val="24"/>
              </w:rPr>
              <w:t>ISO9001</w:t>
            </w:r>
            <w:r>
              <w:rPr>
                <w:rFonts w:hint="eastAsia" w:ascii="微软雅黑" w:hAnsi="微软雅黑"/>
                <w:sz w:val="24"/>
                <w:szCs w:val="24"/>
              </w:rPr>
              <w:t>或</w:t>
            </w:r>
            <w:r>
              <w:rPr>
                <w:rFonts w:hint="eastAsia"/>
                <w:sz w:val="24"/>
                <w:szCs w:val="24"/>
              </w:rPr>
              <w:t>GB/T19001</w:t>
            </w:r>
            <w:r>
              <w:rPr>
                <w:rFonts w:hint="eastAsia" w:ascii="微软雅黑" w:hAnsi="微软雅黑"/>
                <w:sz w:val="24"/>
                <w:szCs w:val="24"/>
              </w:rPr>
              <w:t>）、环境管理体系（</w:t>
            </w:r>
            <w:r>
              <w:rPr>
                <w:rFonts w:hint="eastAsia"/>
                <w:sz w:val="24"/>
                <w:szCs w:val="24"/>
              </w:rPr>
              <w:t>ISO14001</w:t>
            </w:r>
            <w:r>
              <w:rPr>
                <w:rFonts w:hint="eastAsia" w:ascii="微软雅黑" w:hAnsi="微软雅黑"/>
                <w:sz w:val="24"/>
                <w:szCs w:val="24"/>
              </w:rPr>
              <w:t>或</w:t>
            </w:r>
            <w:r>
              <w:rPr>
                <w:rFonts w:hint="eastAsia"/>
                <w:sz w:val="24"/>
                <w:szCs w:val="24"/>
              </w:rPr>
              <w:t>GB/T24001</w:t>
            </w:r>
            <w:r>
              <w:rPr>
                <w:rFonts w:hint="eastAsia" w:ascii="微软雅黑" w:hAnsi="微软雅黑"/>
                <w:sz w:val="24"/>
                <w:szCs w:val="24"/>
              </w:rPr>
              <w:t>）、职业健康安全管理体系（</w:t>
            </w:r>
            <w:r>
              <w:rPr>
                <w:rFonts w:hint="eastAsia"/>
                <w:sz w:val="24"/>
                <w:szCs w:val="24"/>
              </w:rPr>
              <w:t>OHSAS18001</w:t>
            </w:r>
            <w:r>
              <w:rPr>
                <w:rFonts w:hint="eastAsia" w:ascii="微软雅黑" w:hAnsi="微软雅黑"/>
                <w:sz w:val="24"/>
                <w:szCs w:val="24"/>
              </w:rPr>
              <w:t>或</w:t>
            </w:r>
            <w:r>
              <w:rPr>
                <w:rFonts w:hint="eastAsia"/>
                <w:sz w:val="24"/>
                <w:szCs w:val="24"/>
              </w:rPr>
              <w:t>ISO45001</w:t>
            </w:r>
            <w:r>
              <w:rPr>
                <w:rFonts w:hint="eastAsia" w:ascii="微软雅黑" w:hAnsi="微软雅黑"/>
                <w:sz w:val="24"/>
                <w:szCs w:val="24"/>
              </w:rPr>
              <w:t>或</w:t>
            </w:r>
            <w:r>
              <w:rPr>
                <w:rFonts w:hint="eastAsia"/>
                <w:sz w:val="24"/>
                <w:szCs w:val="24"/>
              </w:rPr>
              <w:t>GB/T28001</w:t>
            </w:r>
            <w:r>
              <w:rPr>
                <w:rFonts w:hint="eastAsia" w:ascii="微软雅黑" w:hAnsi="微软雅黑"/>
                <w:sz w:val="24"/>
                <w:szCs w:val="24"/>
              </w:rPr>
              <w:t>）认证证书扫描件</w:t>
            </w:r>
            <w:r>
              <w:rPr>
                <w:rFonts w:hint="eastAsia" w:ascii="宋体" w:hAnsi="宋体" w:eastAsia="宋体" w:cs="宋体"/>
                <w:snapToGrid w:val="0"/>
                <w:kern w:val="0"/>
                <w:sz w:val="24"/>
                <w:szCs w:val="24"/>
                <w:lang w:eastAsia="zh-CN"/>
              </w:rPr>
              <w:t>（加盖企业公章或电子证照），</w:t>
            </w:r>
            <w:r>
              <w:rPr>
                <w:rFonts w:hint="eastAsia" w:ascii="宋体" w:hAnsi="宋体" w:cs="宋体"/>
                <w:snapToGrid w:val="0"/>
                <w:kern w:val="0"/>
                <w:sz w:val="24"/>
                <w:szCs w:val="24"/>
                <w:lang w:eastAsia="zh-CN"/>
              </w:rPr>
              <w:t>每有</w:t>
            </w:r>
            <w:r>
              <w:rPr>
                <w:rFonts w:hint="eastAsia" w:ascii="宋体" w:hAnsi="宋体" w:cs="宋体"/>
                <w:snapToGrid w:val="0"/>
                <w:kern w:val="0"/>
                <w:sz w:val="24"/>
                <w:szCs w:val="24"/>
                <w:lang w:val="en-US" w:eastAsia="zh-CN"/>
              </w:rPr>
              <w:t>1项得1分，最高得3分。</w:t>
            </w:r>
          </w:p>
        </w:tc>
        <w:tc>
          <w:tcPr>
            <w:tcW w:w="826" w:type="dxa"/>
            <w:vAlign w:val="center"/>
          </w:tcPr>
          <w:p>
            <w:pPr>
              <w:jc w:val="center"/>
              <w:rPr>
                <w:rFonts w:hint="eastAsia"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2" w:hRule="atLeast"/>
        </w:trPr>
        <w:tc>
          <w:tcPr>
            <w:tcW w:w="811" w:type="dxa"/>
            <w:vMerge w:val="continue"/>
            <w:vAlign w:val="center"/>
          </w:tcPr>
          <w:p>
            <w:pPr>
              <w:jc w:val="center"/>
              <w:rPr>
                <w:rFonts w:hint="eastAsia" w:ascii="宋体" w:hAnsi="宋体" w:eastAsia="宋体" w:cs="宋体"/>
                <w:snapToGrid w:val="0"/>
                <w:kern w:val="0"/>
                <w:sz w:val="24"/>
                <w:szCs w:val="24"/>
                <w:lang w:eastAsia="zh-CN"/>
              </w:rPr>
            </w:pPr>
          </w:p>
        </w:tc>
        <w:tc>
          <w:tcPr>
            <w:tcW w:w="1304" w:type="dxa"/>
            <w:vMerge w:val="restart"/>
            <w:vAlign w:val="center"/>
          </w:tcPr>
          <w:p>
            <w:pPr>
              <w:spacing w:before="60" w:beforeLines="25" w:after="60" w:afterLines="25"/>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w:t>
            </w:r>
            <w:r>
              <w:rPr>
                <w:rFonts w:hint="eastAsia" w:ascii="宋体" w:hAnsi="宋体" w:eastAsia="宋体" w:cs="宋体"/>
                <w:snapToGrid w:val="0"/>
                <w:kern w:val="0"/>
                <w:sz w:val="24"/>
                <w:szCs w:val="24"/>
                <w:lang w:eastAsia="zh-CN"/>
              </w:rPr>
              <w:t>管理机构</w:t>
            </w:r>
          </w:p>
          <w:p>
            <w:pPr>
              <w:spacing w:before="60" w:beforeLines="25" w:after="60" w:afterLines="25"/>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napToGrid w:val="0"/>
                <w:kern w:val="0"/>
                <w:sz w:val="24"/>
                <w:szCs w:val="24"/>
                <w:lang w:val="en-US"/>
              </w:rPr>
            </w:pPr>
            <w:r>
              <w:rPr>
                <w:rFonts w:hint="eastAsia" w:ascii="微软雅黑" w:hAnsi="微软雅黑"/>
                <w:sz w:val="24"/>
                <w:szCs w:val="24"/>
              </w:rPr>
              <w:t>拟派项目经理：</w:t>
            </w:r>
            <w:r>
              <w:rPr>
                <w:rFonts w:hint="eastAsia" w:ascii="宋体" w:hAnsi="宋体" w:eastAsia="宋体" w:cs="宋体"/>
                <w:color w:val="auto"/>
                <w:kern w:val="0"/>
                <w:sz w:val="24"/>
                <w:szCs w:val="24"/>
              </w:rPr>
              <w:t>具有三年及以上</w:t>
            </w:r>
            <w:r>
              <w:rPr>
                <w:rFonts w:hint="eastAsia" w:ascii="宋体" w:hAnsi="宋体" w:cs="宋体"/>
                <w:color w:val="auto"/>
                <w:kern w:val="0"/>
                <w:sz w:val="24"/>
                <w:szCs w:val="24"/>
                <w:lang w:eastAsia="zh-CN"/>
              </w:rPr>
              <w:t>施工</w:t>
            </w:r>
            <w:r>
              <w:rPr>
                <w:rFonts w:hint="eastAsia" w:ascii="宋体" w:hAnsi="宋体" w:eastAsia="宋体" w:cs="宋体"/>
                <w:color w:val="auto"/>
                <w:kern w:val="0"/>
                <w:sz w:val="24"/>
                <w:szCs w:val="24"/>
              </w:rPr>
              <w:t>项目经验，得</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分</w:t>
            </w: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rPr>
              <w:t>四年及以上</w:t>
            </w:r>
            <w:r>
              <w:rPr>
                <w:rFonts w:hint="eastAsia" w:ascii="宋体" w:hAnsi="宋体" w:cs="宋体"/>
                <w:color w:val="auto"/>
                <w:kern w:val="0"/>
                <w:sz w:val="24"/>
                <w:szCs w:val="24"/>
                <w:lang w:eastAsia="zh-CN"/>
              </w:rPr>
              <w:t>施工项目</w:t>
            </w:r>
            <w:r>
              <w:rPr>
                <w:rFonts w:hint="eastAsia" w:ascii="宋体" w:hAnsi="宋体" w:eastAsia="宋体" w:cs="宋体"/>
                <w:color w:val="auto"/>
                <w:kern w:val="0"/>
                <w:sz w:val="24"/>
                <w:szCs w:val="24"/>
              </w:rPr>
              <w:t>经验，得</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分</w:t>
            </w: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rPr>
              <w:t>五年及以上</w:t>
            </w:r>
            <w:r>
              <w:rPr>
                <w:rFonts w:hint="eastAsia" w:ascii="宋体" w:hAnsi="宋体" w:cs="宋体"/>
                <w:color w:val="auto"/>
                <w:kern w:val="0"/>
                <w:sz w:val="24"/>
                <w:szCs w:val="24"/>
                <w:lang w:eastAsia="zh-CN"/>
              </w:rPr>
              <w:t>施工项目</w:t>
            </w:r>
            <w:r>
              <w:rPr>
                <w:rFonts w:hint="eastAsia" w:ascii="宋体" w:hAnsi="宋体" w:eastAsia="宋体" w:cs="宋体"/>
                <w:color w:val="auto"/>
                <w:kern w:val="0"/>
                <w:sz w:val="24"/>
                <w:szCs w:val="24"/>
              </w:rPr>
              <w:t>经验，得</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分</w:t>
            </w:r>
            <w:r>
              <w:rPr>
                <w:rFonts w:hint="eastAsia" w:ascii="宋体" w:hAnsi="宋体" w:cs="宋体"/>
                <w:color w:val="auto"/>
                <w:kern w:val="0"/>
                <w:sz w:val="24"/>
                <w:szCs w:val="24"/>
                <w:lang w:eastAsia="zh-CN"/>
              </w:rPr>
              <w:t>；</w:t>
            </w:r>
            <w:bookmarkStart w:id="0" w:name="_GoBack"/>
            <w:bookmarkEnd w:id="0"/>
            <w:r>
              <w:rPr>
                <w:rFonts w:hint="eastAsia" w:ascii="宋体" w:hAnsi="宋体" w:cs="宋体"/>
                <w:color w:val="auto"/>
                <w:kern w:val="0"/>
                <w:sz w:val="24"/>
                <w:szCs w:val="24"/>
                <w:lang w:eastAsia="zh-CN"/>
              </w:rPr>
              <w:t>三年以下经验或未提供，则得</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lang w:eastAsia="zh-CN"/>
              </w:rPr>
              <w:t>分</w:t>
            </w:r>
            <w:r>
              <w:rPr>
                <w:rFonts w:hint="eastAsia" w:ascii="微软雅黑" w:hAnsi="微软雅黑"/>
                <w:sz w:val="24"/>
                <w:szCs w:val="24"/>
              </w:rPr>
              <w:t>（依据学历证书彩色扫描件及工作履历）。注：需提供投标人为本项目的项目经理缴纳开标前</w:t>
            </w:r>
            <w:r>
              <w:rPr>
                <w:rFonts w:hint="eastAsia"/>
                <w:sz w:val="24"/>
                <w:szCs w:val="24"/>
              </w:rPr>
              <w:t>12</w:t>
            </w:r>
            <w:r>
              <w:rPr>
                <w:rFonts w:hint="eastAsia" w:ascii="微软雅黑" w:hAnsi="微软雅黑"/>
                <w:sz w:val="24"/>
                <w:szCs w:val="24"/>
              </w:rPr>
              <w:t>个月内至少连续</w:t>
            </w:r>
            <w:r>
              <w:rPr>
                <w:rFonts w:hint="eastAsia"/>
                <w:sz w:val="24"/>
                <w:szCs w:val="24"/>
              </w:rPr>
              <w:t>6</w:t>
            </w:r>
            <w:r>
              <w:rPr>
                <w:rFonts w:hint="eastAsia" w:ascii="微软雅黑" w:hAnsi="微软雅黑"/>
                <w:sz w:val="24"/>
                <w:szCs w:val="24"/>
              </w:rPr>
              <w:t>个月社保的证明材料，否则该项不得分。</w:t>
            </w:r>
          </w:p>
        </w:tc>
        <w:tc>
          <w:tcPr>
            <w:tcW w:w="826" w:type="dxa"/>
            <w:vAlign w:val="center"/>
          </w:tcPr>
          <w:p>
            <w:pPr>
              <w:jc w:val="center"/>
              <w:rPr>
                <w:rFonts w:hint="eastAsia" w:ascii="宋体" w:hAnsi="宋体" w:eastAsia="宋体" w:cs="宋体"/>
                <w:snapToGrid w:val="0"/>
                <w:kern w:val="0"/>
                <w:sz w:val="24"/>
                <w:szCs w:val="24"/>
              </w:rPr>
            </w:pPr>
            <w:r>
              <w:rPr>
                <w:rFonts w:hint="eastAsia" w:ascii="宋体" w:hAnsi="宋体" w:cs="宋体"/>
                <w:snapToGrid w:val="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811" w:type="dxa"/>
            <w:vMerge w:val="continue"/>
            <w:vAlign w:val="center"/>
          </w:tcPr>
          <w:p>
            <w:pPr>
              <w:jc w:val="center"/>
              <w:rPr>
                <w:rFonts w:hint="eastAsia" w:ascii="宋体" w:hAnsi="宋体" w:eastAsia="宋体" w:cs="宋体"/>
                <w:snapToGrid w:val="0"/>
                <w:kern w:val="0"/>
                <w:sz w:val="24"/>
                <w:szCs w:val="24"/>
              </w:rPr>
            </w:pPr>
          </w:p>
        </w:tc>
        <w:tc>
          <w:tcPr>
            <w:tcW w:w="1304" w:type="dxa"/>
            <w:vMerge w:val="continue"/>
            <w:vAlign w:val="center"/>
          </w:tcPr>
          <w:p>
            <w:pPr>
              <w:adjustRightInd w:val="0"/>
              <w:jc w:val="center"/>
              <w:rPr>
                <w:rFonts w:hint="eastAsia" w:ascii="宋体" w:hAnsi="宋体" w:eastAsia="宋体" w:cs="宋体"/>
                <w:snapToGrid w:val="0"/>
                <w:kern w:val="0"/>
                <w:sz w:val="24"/>
                <w:szCs w:val="24"/>
              </w:rPr>
            </w:pPr>
          </w:p>
        </w:tc>
        <w:tc>
          <w:tcPr>
            <w:tcW w:w="6304" w:type="dxa"/>
            <w:vAlign w:val="center"/>
          </w:tcPr>
          <w:p>
            <w:pPr>
              <w:rPr>
                <w:rFonts w:hint="eastAsia" w:ascii="宋体" w:hAnsi="宋体" w:eastAsia="宋体" w:cs="宋体"/>
                <w:snapToGrid w:val="0"/>
                <w:kern w:val="0"/>
                <w:sz w:val="24"/>
                <w:szCs w:val="24"/>
                <w:lang w:eastAsia="zh-CN"/>
              </w:rPr>
            </w:pPr>
            <w:r>
              <w:rPr>
                <w:rFonts w:hint="eastAsia" w:ascii="宋体" w:hAnsi="宋体" w:eastAsia="宋体" w:cs="宋体"/>
                <w:snapToGrid w:val="0"/>
                <w:kern w:val="0"/>
                <w:sz w:val="24"/>
                <w:szCs w:val="24"/>
                <w:lang w:eastAsia="zh-CN"/>
              </w:rPr>
              <w:t>其他管理人员</w:t>
            </w:r>
            <w:r>
              <w:rPr>
                <w:rFonts w:hint="eastAsia" w:ascii="宋体" w:hAnsi="宋体" w:cs="宋体"/>
                <w:snapToGrid w:val="0"/>
                <w:kern w:val="0"/>
                <w:sz w:val="24"/>
                <w:szCs w:val="24"/>
                <w:lang w:eastAsia="zh-CN"/>
              </w:rPr>
              <w:t>、</w:t>
            </w:r>
            <w:r>
              <w:rPr>
                <w:rFonts w:hint="eastAsia" w:ascii="宋体" w:hAnsi="宋体" w:eastAsia="宋体" w:cs="宋体"/>
                <w:snapToGrid w:val="0"/>
                <w:kern w:val="0"/>
                <w:sz w:val="24"/>
                <w:szCs w:val="24"/>
                <w:lang w:eastAsia="zh-CN"/>
              </w:rPr>
              <w:t>技术员、质检员、安全员、资料员</w:t>
            </w:r>
            <w:r>
              <w:rPr>
                <w:rFonts w:hint="eastAsia" w:ascii="宋体" w:hAnsi="宋体" w:eastAsia="宋体" w:cs="宋体"/>
                <w:snapToGrid w:val="0"/>
                <w:kern w:val="0"/>
                <w:sz w:val="24"/>
                <w:szCs w:val="24"/>
                <w:lang w:val="en-US" w:eastAsia="zh-CN"/>
              </w:rPr>
              <w:t>等</w:t>
            </w:r>
            <w:r>
              <w:rPr>
                <w:rFonts w:hint="eastAsia" w:ascii="宋体" w:hAnsi="宋体" w:eastAsia="宋体" w:cs="宋体"/>
                <w:snapToGrid w:val="0"/>
                <w:kern w:val="0"/>
                <w:sz w:val="24"/>
                <w:szCs w:val="24"/>
                <w:lang w:eastAsia="zh-CN"/>
              </w:rPr>
              <w:t>配备齐全，</w:t>
            </w:r>
            <w:r>
              <w:rPr>
                <w:rFonts w:hint="eastAsia" w:ascii="宋体" w:hAnsi="宋体" w:eastAsia="宋体" w:cs="宋体"/>
                <w:snapToGrid w:val="0"/>
                <w:kern w:val="0"/>
                <w:sz w:val="24"/>
                <w:szCs w:val="24"/>
              </w:rPr>
              <w:t>得</w:t>
            </w:r>
            <w:r>
              <w:rPr>
                <w:rFonts w:hint="eastAsia" w:ascii="宋体" w:hAnsi="宋体" w:eastAsia="宋体" w:cs="宋体"/>
                <w:snapToGrid w:val="0"/>
                <w:kern w:val="0"/>
                <w:sz w:val="24"/>
                <w:szCs w:val="24"/>
                <w:lang w:val="en-US" w:eastAsia="zh-CN"/>
              </w:rPr>
              <w:t>1</w:t>
            </w:r>
            <w:r>
              <w:rPr>
                <w:rFonts w:hint="eastAsia" w:ascii="宋体" w:hAnsi="宋体" w:eastAsia="宋体" w:cs="宋体"/>
                <w:snapToGrid w:val="0"/>
                <w:kern w:val="0"/>
                <w:sz w:val="24"/>
                <w:szCs w:val="24"/>
              </w:rPr>
              <w:t>分，</w:t>
            </w:r>
            <w:r>
              <w:rPr>
                <w:rFonts w:hint="eastAsia" w:ascii="宋体" w:hAnsi="宋体" w:cs="宋体"/>
                <w:snapToGrid w:val="0"/>
                <w:kern w:val="0"/>
                <w:sz w:val="24"/>
                <w:szCs w:val="24"/>
                <w:lang w:eastAsia="zh-CN"/>
              </w:rPr>
              <w:t>缺漏项或未提供得</w:t>
            </w:r>
            <w:r>
              <w:rPr>
                <w:rFonts w:hint="eastAsia" w:ascii="宋体" w:hAnsi="宋体" w:cs="宋体"/>
                <w:snapToGrid w:val="0"/>
                <w:kern w:val="0"/>
                <w:sz w:val="24"/>
                <w:szCs w:val="24"/>
                <w:lang w:val="en-US" w:eastAsia="zh-CN"/>
              </w:rPr>
              <w:t>0分。</w:t>
            </w:r>
          </w:p>
        </w:tc>
        <w:tc>
          <w:tcPr>
            <w:tcW w:w="826" w:type="dxa"/>
            <w:vAlign w:val="center"/>
          </w:tcPr>
          <w:p>
            <w:pPr>
              <w:jc w:val="center"/>
              <w:rPr>
                <w:rFonts w:hint="eastAsia" w:ascii="宋体" w:hAnsi="宋体" w:eastAsia="宋体" w:cs="宋体"/>
                <w:snapToGrid w:val="0"/>
                <w:kern w:val="0"/>
                <w:sz w:val="24"/>
                <w:szCs w:val="24"/>
                <w:lang w:val="en-US" w:eastAsia="zh-CN"/>
              </w:rPr>
            </w:pPr>
            <w:r>
              <w:rPr>
                <w:rFonts w:hint="eastAsia" w:ascii="宋体" w:hAnsi="宋体" w:eastAsia="宋体" w:cs="宋体"/>
                <w:snapToGrid w:val="0"/>
                <w:kern w:val="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restart"/>
            <w:vAlign w:val="center"/>
          </w:tcPr>
          <w:p>
            <w:pPr>
              <w:widowControl/>
              <w:jc w:val="left"/>
              <w:rPr>
                <w:rFonts w:hint="eastAsia" w:ascii="宋体" w:hAnsi="宋体" w:eastAsia="宋体" w:cs="宋体"/>
                <w:snapToGrid w:val="0"/>
                <w:kern w:val="0"/>
                <w:sz w:val="24"/>
                <w:szCs w:val="24"/>
                <w:lang w:eastAsia="zh-CN"/>
              </w:rPr>
            </w:pPr>
            <w:r>
              <w:rPr>
                <w:rFonts w:hint="eastAsia" w:ascii="宋体" w:hAnsi="宋体" w:eastAsia="宋体" w:cs="宋体"/>
                <w:snapToGrid w:val="0"/>
                <w:kern w:val="0"/>
                <w:sz w:val="24"/>
                <w:szCs w:val="24"/>
                <w:lang w:eastAsia="zh-CN"/>
              </w:rPr>
              <w:t>施工组织设计</w:t>
            </w:r>
          </w:p>
          <w:p>
            <w:pPr>
              <w:widowControl/>
              <w:jc w:val="left"/>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lang w:eastAsia="zh-CN"/>
              </w:rPr>
              <w:t>（</w:t>
            </w:r>
            <w:r>
              <w:rPr>
                <w:rFonts w:hint="eastAsia" w:ascii="宋体" w:hAnsi="宋体" w:eastAsia="宋体" w:cs="宋体"/>
                <w:snapToGrid w:val="0"/>
                <w:kern w:val="0"/>
                <w:sz w:val="24"/>
                <w:szCs w:val="24"/>
                <w:lang w:val="en-US" w:eastAsia="zh-CN"/>
              </w:rPr>
              <w:t>50分</w:t>
            </w:r>
            <w:r>
              <w:rPr>
                <w:rFonts w:hint="eastAsia" w:ascii="宋体" w:hAnsi="宋体" w:eastAsia="宋体" w:cs="宋体"/>
                <w:snapToGrid w:val="0"/>
                <w:kern w:val="0"/>
                <w:sz w:val="24"/>
                <w:szCs w:val="24"/>
                <w:lang w:eastAsia="zh-CN"/>
              </w:rPr>
              <w:t>）</w:t>
            </w:r>
          </w:p>
        </w:tc>
        <w:tc>
          <w:tcPr>
            <w:tcW w:w="1304" w:type="dxa"/>
            <w:vMerge w:val="restart"/>
            <w:vAlign w:val="center"/>
          </w:tcPr>
          <w:p>
            <w:pPr>
              <w:spacing w:before="60" w:beforeLines="25" w:after="60" w:afterLines="25"/>
              <w:jc w:val="center"/>
              <w:rPr>
                <w:rFonts w:hint="eastAsia" w:ascii="宋体" w:hAnsi="宋体" w:eastAsia="宋体" w:cs="宋体"/>
                <w:sz w:val="24"/>
                <w:szCs w:val="24"/>
              </w:rPr>
            </w:pPr>
            <w:r>
              <w:rPr>
                <w:rFonts w:hint="eastAsia" w:ascii="宋体" w:hAnsi="宋体" w:eastAsia="宋体" w:cs="宋体"/>
                <w:kern w:val="0"/>
                <w:sz w:val="24"/>
                <w:szCs w:val="24"/>
                <w:lang w:eastAsia="zh-CN"/>
              </w:rPr>
              <w:t>施工方案与技术措施</w:t>
            </w: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科学合理，针对性强</w:t>
            </w:r>
            <w:r>
              <w:rPr>
                <w:rFonts w:hint="eastAsia" w:ascii="宋体" w:hAnsi="宋体" w:cs="宋体"/>
                <w:sz w:val="24"/>
                <w:szCs w:val="24"/>
                <w:lang w:eastAsia="zh-CN"/>
              </w:rPr>
              <w:t>，</w:t>
            </w:r>
            <w:r>
              <w:rPr>
                <w:rFonts w:hint="eastAsia" w:ascii="宋体" w:hAnsi="宋体" w:cs="宋体"/>
                <w:sz w:val="24"/>
                <w:szCs w:val="24"/>
                <w:lang w:val="en-US" w:eastAsia="zh-CN"/>
              </w:rPr>
              <w:t>14≤得分≤20</w:t>
            </w:r>
          </w:p>
        </w:tc>
        <w:tc>
          <w:tcPr>
            <w:tcW w:w="826" w:type="dxa"/>
            <w:vMerge w:val="restart"/>
            <w:vAlign w:val="center"/>
          </w:tcPr>
          <w:p>
            <w:pPr>
              <w:jc w:val="center"/>
              <w:rPr>
                <w:rFonts w:hint="default"/>
                <w:lang w:val="en-US" w:eastAsia="zh-CN"/>
              </w:rPr>
            </w:pPr>
          </w:p>
          <w:p>
            <w:pPr>
              <w:bidi w:val="0"/>
              <w:ind w:firstLine="254" w:firstLineChars="0"/>
              <w:jc w:val="left"/>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widowControl/>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合理可行，细节待完善</w:t>
            </w:r>
            <w:r>
              <w:rPr>
                <w:rFonts w:hint="eastAsia" w:ascii="宋体" w:hAnsi="宋体" w:cs="宋体"/>
                <w:sz w:val="24"/>
                <w:szCs w:val="24"/>
                <w:lang w:eastAsia="zh-CN"/>
              </w:rPr>
              <w:t>，</w:t>
            </w:r>
            <w:r>
              <w:rPr>
                <w:rFonts w:hint="eastAsia" w:ascii="宋体" w:hAnsi="宋体" w:cs="宋体"/>
                <w:sz w:val="24"/>
                <w:szCs w:val="24"/>
                <w:lang w:val="en-US" w:eastAsia="zh-CN"/>
              </w:rPr>
              <w:t>7≤得分≤13</w:t>
            </w:r>
          </w:p>
        </w:tc>
        <w:tc>
          <w:tcPr>
            <w:tcW w:w="826" w:type="dxa"/>
            <w:vMerge w:val="continue"/>
            <w:vAlign w:val="center"/>
          </w:tcPr>
          <w:p>
            <w:pPr>
              <w:jc w:val="center"/>
              <w:rPr>
                <w:rFonts w:hint="default" w:ascii="宋体" w:hAnsi="宋体" w:eastAsia="宋体" w:cs="宋体"/>
                <w:snapToGrid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widowControl/>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欠合理，可行性较差，基本满足工程需要</w:t>
            </w:r>
            <w:r>
              <w:rPr>
                <w:rFonts w:hint="eastAsia" w:ascii="宋体" w:hAnsi="宋体" w:cs="宋体"/>
                <w:sz w:val="24"/>
                <w:szCs w:val="24"/>
                <w:lang w:val="en-US" w:eastAsia="zh-CN"/>
              </w:rPr>
              <w:t>,0≤得分≤6</w:t>
            </w:r>
          </w:p>
        </w:tc>
        <w:tc>
          <w:tcPr>
            <w:tcW w:w="826" w:type="dxa"/>
            <w:vMerge w:val="continue"/>
            <w:vAlign w:val="center"/>
          </w:tcPr>
          <w:p>
            <w:pPr>
              <w:jc w:val="center"/>
              <w:rPr>
                <w:rFonts w:hint="default" w:ascii="宋体" w:hAnsi="宋体" w:eastAsia="宋体" w:cs="宋体"/>
                <w:snapToGrid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restart"/>
            <w:vAlign w:val="center"/>
          </w:tcPr>
          <w:p>
            <w:pPr>
              <w:spacing w:before="60" w:beforeLines="25" w:after="60" w:afterLines="25"/>
              <w:jc w:val="center"/>
              <w:rPr>
                <w:rFonts w:hint="eastAsia" w:ascii="宋体" w:hAnsi="宋体" w:eastAsia="宋体" w:cs="宋体"/>
                <w:sz w:val="24"/>
                <w:szCs w:val="24"/>
              </w:rPr>
            </w:pPr>
            <w:r>
              <w:rPr>
                <w:rFonts w:hint="eastAsia" w:ascii="宋体" w:hAnsi="宋体" w:eastAsia="宋体" w:cs="宋体"/>
                <w:sz w:val="24"/>
                <w:szCs w:val="24"/>
                <w:lang w:eastAsia="zh-CN"/>
              </w:rPr>
              <w:t>工程进度计划与保证措施</w:t>
            </w:r>
          </w:p>
        </w:tc>
        <w:tc>
          <w:tcPr>
            <w:tcW w:w="6304" w:type="dxa"/>
            <w:vAlign w:val="center"/>
          </w:tcPr>
          <w:p>
            <w:pPr>
              <w:rPr>
                <w:rFonts w:hint="default" w:ascii="宋体" w:hAnsi="宋体" w:eastAsia="宋体" w:cs="宋体"/>
                <w:sz w:val="24"/>
                <w:szCs w:val="24"/>
                <w:lang w:val="en-US"/>
              </w:rPr>
            </w:pPr>
            <w:r>
              <w:rPr>
                <w:rFonts w:hint="eastAsia" w:ascii="宋体" w:hAnsi="宋体" w:eastAsia="宋体" w:cs="宋体"/>
                <w:sz w:val="24"/>
                <w:szCs w:val="24"/>
                <w:lang w:eastAsia="zh-CN"/>
              </w:rPr>
              <w:t>科学合理，针对性强</w:t>
            </w:r>
            <w:r>
              <w:rPr>
                <w:rFonts w:hint="eastAsia" w:ascii="宋体" w:hAnsi="宋体" w:cs="宋体"/>
                <w:sz w:val="24"/>
                <w:szCs w:val="24"/>
                <w:lang w:val="en-US" w:eastAsia="zh-CN"/>
              </w:rPr>
              <w:t>,8≤得分≤10</w:t>
            </w:r>
          </w:p>
        </w:tc>
        <w:tc>
          <w:tcPr>
            <w:tcW w:w="826" w:type="dxa"/>
            <w:vMerge w:val="restart"/>
            <w:vAlign w:val="center"/>
          </w:tcPr>
          <w:p>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spacing w:before="60" w:beforeLines="25" w:after="60" w:afterLines="25"/>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rPr>
            </w:pPr>
            <w:r>
              <w:rPr>
                <w:rFonts w:hint="eastAsia" w:ascii="宋体" w:hAnsi="宋体" w:eastAsia="宋体" w:cs="宋体"/>
                <w:sz w:val="24"/>
                <w:szCs w:val="24"/>
                <w:lang w:eastAsia="zh-CN"/>
              </w:rPr>
              <w:t>合理可行，细节待完善</w:t>
            </w:r>
            <w:r>
              <w:rPr>
                <w:rFonts w:hint="eastAsia" w:ascii="宋体" w:hAnsi="宋体" w:cs="宋体"/>
                <w:sz w:val="24"/>
                <w:szCs w:val="24"/>
                <w:lang w:val="en-US" w:eastAsia="zh-CN"/>
              </w:rPr>
              <w:t>,5≤得分≤7</w:t>
            </w:r>
          </w:p>
        </w:tc>
        <w:tc>
          <w:tcPr>
            <w:tcW w:w="826" w:type="dxa"/>
            <w:vMerge w:val="continue"/>
            <w:vAlign w:val="center"/>
          </w:tcPr>
          <w:p>
            <w:pPr>
              <w:jc w:val="center"/>
              <w:rPr>
                <w:rFonts w:hint="eastAsia" w:ascii="宋体" w:hAnsi="宋体" w:eastAsia="宋体" w:cs="宋体"/>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spacing w:before="60" w:beforeLines="25" w:after="60" w:afterLines="25"/>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欠合理，可行性较差，基本满足工程需要</w:t>
            </w:r>
            <w:r>
              <w:rPr>
                <w:rFonts w:hint="eastAsia" w:ascii="宋体" w:hAnsi="宋体" w:cs="宋体"/>
                <w:sz w:val="24"/>
                <w:szCs w:val="24"/>
                <w:lang w:eastAsia="zh-CN"/>
              </w:rPr>
              <w:t>，</w:t>
            </w:r>
            <w:r>
              <w:rPr>
                <w:rFonts w:hint="eastAsia" w:ascii="宋体" w:hAnsi="宋体" w:cs="宋体"/>
                <w:sz w:val="24"/>
                <w:szCs w:val="24"/>
                <w:lang w:val="en-US" w:eastAsia="zh-CN"/>
              </w:rPr>
              <w:t>0≤得分≤4</w:t>
            </w:r>
          </w:p>
        </w:tc>
        <w:tc>
          <w:tcPr>
            <w:tcW w:w="826" w:type="dxa"/>
            <w:vMerge w:val="continue"/>
            <w:vAlign w:val="center"/>
          </w:tcPr>
          <w:p>
            <w:pPr>
              <w:jc w:val="center"/>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restart"/>
            <w:vAlign w:val="center"/>
          </w:tcPr>
          <w:p>
            <w:pPr>
              <w:spacing w:before="60" w:beforeLines="25" w:after="60" w:afterLines="25"/>
              <w:jc w:val="center"/>
              <w:rPr>
                <w:rFonts w:hint="eastAsia" w:ascii="宋体" w:hAnsi="宋体" w:eastAsia="宋体" w:cs="宋体"/>
                <w:sz w:val="24"/>
                <w:szCs w:val="24"/>
              </w:rPr>
            </w:pPr>
            <w:r>
              <w:rPr>
                <w:rFonts w:hint="eastAsia" w:ascii="宋体" w:hAnsi="宋体" w:eastAsia="宋体" w:cs="宋体"/>
                <w:sz w:val="24"/>
                <w:szCs w:val="24"/>
                <w:lang w:eastAsia="zh-CN"/>
              </w:rPr>
              <w:t>劳动力计划、机械用量计划、主要材料设备用量计划</w:t>
            </w:r>
          </w:p>
        </w:tc>
        <w:tc>
          <w:tcPr>
            <w:tcW w:w="6304" w:type="dxa"/>
            <w:vAlign w:val="center"/>
          </w:tcPr>
          <w:p>
            <w:pPr>
              <w:rPr>
                <w:rFonts w:hint="default" w:ascii="宋体" w:hAnsi="宋体" w:eastAsia="宋体" w:cs="宋体"/>
                <w:sz w:val="24"/>
                <w:szCs w:val="24"/>
                <w:lang w:val="en-US"/>
              </w:rPr>
            </w:pPr>
            <w:r>
              <w:rPr>
                <w:rFonts w:hint="eastAsia" w:ascii="宋体" w:hAnsi="宋体" w:eastAsia="宋体" w:cs="宋体"/>
                <w:sz w:val="24"/>
                <w:szCs w:val="24"/>
                <w:lang w:eastAsia="zh-CN"/>
              </w:rPr>
              <w:t>科学合理，针对性强</w:t>
            </w:r>
            <w:r>
              <w:rPr>
                <w:rFonts w:hint="eastAsia" w:ascii="宋体" w:hAnsi="宋体" w:cs="宋体"/>
                <w:sz w:val="24"/>
                <w:szCs w:val="24"/>
                <w:lang w:eastAsia="zh-CN"/>
              </w:rPr>
              <w:t>，</w:t>
            </w:r>
            <w:r>
              <w:rPr>
                <w:rFonts w:hint="eastAsia" w:ascii="宋体" w:hAnsi="宋体" w:cs="宋体"/>
                <w:sz w:val="24"/>
                <w:szCs w:val="24"/>
                <w:lang w:val="en-US" w:eastAsia="zh-CN"/>
              </w:rPr>
              <w:t>8≤得分≤10</w:t>
            </w:r>
          </w:p>
        </w:tc>
        <w:tc>
          <w:tcPr>
            <w:tcW w:w="826" w:type="dxa"/>
            <w:vMerge w:val="restart"/>
            <w:vAlign w:val="center"/>
          </w:tcPr>
          <w:p>
            <w:pPr>
              <w:tabs>
                <w:tab w:val="left" w:pos="232"/>
              </w:tabs>
              <w:jc w:val="left"/>
              <w:rPr>
                <w:rFonts w:hint="default" w:ascii="宋体" w:hAnsi="宋体" w:eastAsia="宋体" w:cs="宋体"/>
                <w:snapToGrid w:val="0"/>
                <w:kern w:val="0"/>
                <w:sz w:val="24"/>
                <w:szCs w:val="24"/>
                <w:lang w:val="en-US" w:eastAsia="zh-CN"/>
              </w:rPr>
            </w:pPr>
            <w:r>
              <w:rPr>
                <w:rFonts w:hint="eastAsia" w:ascii="宋体" w:hAnsi="宋体" w:cs="宋体"/>
                <w:snapToGrid w:val="0"/>
                <w:kern w:val="0"/>
                <w:sz w:val="24"/>
                <w:szCs w:val="24"/>
                <w:lang w:eastAsia="zh-CN"/>
              </w:rPr>
              <w:tab/>
            </w:r>
            <w:r>
              <w:rPr>
                <w:rFonts w:hint="eastAsia" w:ascii="宋体" w:hAnsi="宋体" w:cs="宋体"/>
                <w:snapToGrid w:val="0"/>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spacing w:before="60" w:beforeLines="25" w:after="60" w:afterLines="25"/>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rPr>
            </w:pPr>
            <w:r>
              <w:rPr>
                <w:rFonts w:hint="eastAsia" w:ascii="宋体" w:hAnsi="宋体" w:eastAsia="宋体" w:cs="宋体"/>
                <w:sz w:val="24"/>
                <w:szCs w:val="24"/>
                <w:lang w:eastAsia="zh-CN"/>
              </w:rPr>
              <w:t>合理可行，细节待完善</w:t>
            </w:r>
            <w:r>
              <w:rPr>
                <w:rFonts w:hint="eastAsia" w:ascii="宋体" w:hAnsi="宋体" w:cs="宋体"/>
                <w:sz w:val="24"/>
                <w:szCs w:val="24"/>
                <w:lang w:eastAsia="zh-CN"/>
              </w:rPr>
              <w:t>，</w:t>
            </w:r>
            <w:r>
              <w:rPr>
                <w:rFonts w:hint="eastAsia" w:ascii="宋体" w:hAnsi="宋体" w:cs="宋体"/>
                <w:sz w:val="24"/>
                <w:szCs w:val="24"/>
                <w:lang w:val="en-US" w:eastAsia="zh-CN"/>
              </w:rPr>
              <w:t>5≤得分≤7</w:t>
            </w:r>
          </w:p>
        </w:tc>
        <w:tc>
          <w:tcPr>
            <w:tcW w:w="826" w:type="dxa"/>
            <w:vMerge w:val="continue"/>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811" w:type="dxa"/>
            <w:vMerge w:val="continue"/>
            <w:vAlign w:val="center"/>
          </w:tcPr>
          <w:p>
            <w:pPr>
              <w:widowControl/>
              <w:jc w:val="left"/>
              <w:rPr>
                <w:rFonts w:hint="eastAsia" w:ascii="宋体" w:hAnsi="宋体" w:eastAsia="宋体" w:cs="宋体"/>
                <w:snapToGrid w:val="0"/>
                <w:kern w:val="0"/>
                <w:sz w:val="24"/>
                <w:szCs w:val="24"/>
              </w:rPr>
            </w:pPr>
          </w:p>
        </w:tc>
        <w:tc>
          <w:tcPr>
            <w:tcW w:w="1304" w:type="dxa"/>
            <w:vMerge w:val="continue"/>
            <w:vAlign w:val="center"/>
          </w:tcPr>
          <w:p>
            <w:pPr>
              <w:spacing w:before="60" w:beforeLines="25" w:after="60" w:afterLines="25"/>
              <w:jc w:val="center"/>
              <w:rPr>
                <w:rFonts w:hint="eastAsia" w:ascii="宋体" w:hAnsi="宋体" w:eastAsia="宋体" w:cs="宋体"/>
                <w:sz w:val="24"/>
                <w:szCs w:val="24"/>
              </w:rPr>
            </w:pPr>
          </w:p>
        </w:tc>
        <w:tc>
          <w:tcPr>
            <w:tcW w:w="6304" w:type="dxa"/>
            <w:vAlign w:val="center"/>
          </w:tcPr>
          <w:p>
            <w:pPr>
              <w:rPr>
                <w:rFonts w:hint="default" w:ascii="宋体" w:hAnsi="宋体" w:eastAsia="宋体" w:cs="宋体"/>
                <w:sz w:val="24"/>
                <w:szCs w:val="24"/>
                <w:lang w:val="en-US"/>
              </w:rPr>
            </w:pPr>
            <w:r>
              <w:rPr>
                <w:rFonts w:hint="eastAsia" w:ascii="宋体" w:hAnsi="宋体" w:eastAsia="宋体" w:cs="宋体"/>
                <w:sz w:val="24"/>
                <w:szCs w:val="24"/>
                <w:lang w:eastAsia="zh-CN"/>
              </w:rPr>
              <w:t>欠合理，可行性较差，基本满足工程需要</w:t>
            </w:r>
            <w:r>
              <w:rPr>
                <w:rFonts w:hint="eastAsia" w:ascii="宋体" w:hAnsi="宋体" w:cs="宋体"/>
                <w:sz w:val="24"/>
                <w:szCs w:val="24"/>
                <w:lang w:val="en-US" w:eastAsia="zh-CN"/>
              </w:rPr>
              <w:t>,0≤得分≤4</w:t>
            </w:r>
          </w:p>
        </w:tc>
        <w:tc>
          <w:tcPr>
            <w:tcW w:w="826" w:type="dxa"/>
            <w:vMerge w:val="continue"/>
            <w:vAlign w:val="center"/>
          </w:tcPr>
          <w:p>
            <w:pPr>
              <w:jc w:val="center"/>
              <w:rPr>
                <w:rFonts w:hint="eastAsia" w:ascii="宋体" w:hAnsi="宋体" w:eastAsia="宋体" w:cs="宋体"/>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jc w:val="center"/>
              <w:rPr>
                <w:rFonts w:hint="eastAsia" w:ascii="宋体" w:hAnsi="宋体" w:eastAsia="宋体" w:cs="宋体"/>
                <w:snapToGrid w:val="0"/>
                <w:kern w:val="0"/>
                <w:sz w:val="24"/>
                <w:szCs w:val="24"/>
              </w:rPr>
            </w:pPr>
          </w:p>
        </w:tc>
        <w:tc>
          <w:tcPr>
            <w:tcW w:w="1304" w:type="dxa"/>
            <w:vMerge w:val="restart"/>
            <w:vAlign w:val="center"/>
          </w:tcPr>
          <w:p>
            <w:pPr>
              <w:adjustRightInd w:val="0"/>
              <w:snapToGrid w:val="0"/>
              <w:rPr>
                <w:rFonts w:hint="eastAsia" w:ascii="宋体" w:hAnsi="宋体" w:eastAsia="宋体" w:cs="宋体"/>
                <w:sz w:val="24"/>
                <w:szCs w:val="24"/>
                <w:lang w:eastAsia="zh-CN"/>
              </w:rPr>
            </w:pPr>
            <w:r>
              <w:rPr>
                <w:rFonts w:hint="eastAsia" w:ascii="宋体" w:hAnsi="宋体" w:eastAsia="宋体" w:cs="宋体"/>
                <w:sz w:val="24"/>
                <w:szCs w:val="24"/>
                <w:lang w:eastAsia="zh-CN"/>
              </w:rPr>
              <w:t>安全和绿色施工保障措施</w:t>
            </w: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科学合理，针对性强</w:t>
            </w:r>
            <w:r>
              <w:rPr>
                <w:rFonts w:hint="eastAsia" w:ascii="宋体" w:hAnsi="宋体" w:cs="宋体"/>
                <w:sz w:val="24"/>
                <w:szCs w:val="24"/>
                <w:lang w:eastAsia="zh-CN"/>
              </w:rPr>
              <w:t>，</w:t>
            </w:r>
            <w:r>
              <w:rPr>
                <w:rFonts w:hint="eastAsia" w:ascii="宋体" w:hAnsi="宋体" w:cs="宋体"/>
                <w:sz w:val="24"/>
                <w:szCs w:val="24"/>
                <w:lang w:val="en-US" w:eastAsia="zh-CN"/>
              </w:rPr>
              <w:t>8≤得分≤10</w:t>
            </w:r>
          </w:p>
        </w:tc>
        <w:tc>
          <w:tcPr>
            <w:tcW w:w="826" w:type="dxa"/>
            <w:vMerge w:val="restart"/>
            <w:vAlign w:val="center"/>
          </w:tcPr>
          <w:p>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jc w:val="center"/>
              <w:rPr>
                <w:rFonts w:hint="eastAsia" w:ascii="宋体" w:hAnsi="宋体" w:eastAsia="宋体" w:cs="宋体"/>
                <w:snapToGrid w:val="0"/>
                <w:kern w:val="0"/>
                <w:sz w:val="24"/>
                <w:szCs w:val="24"/>
              </w:rPr>
            </w:pPr>
          </w:p>
        </w:tc>
        <w:tc>
          <w:tcPr>
            <w:tcW w:w="1304" w:type="dxa"/>
            <w:vMerge w:val="continue"/>
            <w:vAlign w:val="center"/>
          </w:tcPr>
          <w:p>
            <w:pPr>
              <w:adjustRightInd w:val="0"/>
              <w:snapToGrid w:val="0"/>
              <w:rPr>
                <w:rFonts w:hint="eastAsia" w:ascii="宋体" w:hAnsi="宋体" w:eastAsia="宋体" w:cs="宋体"/>
                <w:sz w:val="24"/>
                <w:szCs w:val="24"/>
                <w:lang w:eastAsia="zh-CN"/>
              </w:rPr>
            </w:pP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合理可行，细节待完善</w:t>
            </w:r>
            <w:r>
              <w:rPr>
                <w:rFonts w:hint="eastAsia" w:ascii="宋体" w:hAnsi="宋体" w:cs="宋体"/>
                <w:sz w:val="24"/>
                <w:szCs w:val="24"/>
                <w:lang w:val="en-US" w:eastAsia="zh-CN"/>
              </w:rPr>
              <w:t>,5≤得分≤7</w:t>
            </w:r>
          </w:p>
        </w:tc>
        <w:tc>
          <w:tcPr>
            <w:tcW w:w="826" w:type="dxa"/>
            <w:vMerge w:val="continue"/>
            <w:vAlign w:val="center"/>
          </w:tcPr>
          <w:p>
            <w:pPr>
              <w:jc w:val="center"/>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811" w:type="dxa"/>
            <w:vMerge w:val="continue"/>
            <w:vAlign w:val="center"/>
          </w:tcPr>
          <w:p>
            <w:pPr>
              <w:jc w:val="center"/>
              <w:rPr>
                <w:rFonts w:hint="eastAsia" w:ascii="宋体" w:hAnsi="宋体" w:eastAsia="宋体" w:cs="宋体"/>
                <w:snapToGrid w:val="0"/>
                <w:kern w:val="0"/>
                <w:sz w:val="24"/>
                <w:szCs w:val="24"/>
              </w:rPr>
            </w:pPr>
          </w:p>
        </w:tc>
        <w:tc>
          <w:tcPr>
            <w:tcW w:w="1304" w:type="dxa"/>
            <w:vMerge w:val="continue"/>
            <w:vAlign w:val="center"/>
          </w:tcPr>
          <w:p>
            <w:pPr>
              <w:adjustRightInd w:val="0"/>
              <w:snapToGrid w:val="0"/>
              <w:rPr>
                <w:rFonts w:hint="eastAsia" w:ascii="宋体" w:hAnsi="宋体" w:eastAsia="宋体" w:cs="宋体"/>
                <w:sz w:val="24"/>
                <w:szCs w:val="24"/>
                <w:lang w:eastAsia="zh-CN"/>
              </w:rPr>
            </w:pPr>
          </w:p>
        </w:tc>
        <w:tc>
          <w:tcPr>
            <w:tcW w:w="6304" w:type="dxa"/>
            <w:vAlign w:val="center"/>
          </w:tcPr>
          <w:p>
            <w:pPr>
              <w:rPr>
                <w:rFonts w:hint="default" w:ascii="宋体" w:hAnsi="宋体" w:eastAsia="宋体" w:cs="宋体"/>
                <w:sz w:val="24"/>
                <w:szCs w:val="24"/>
                <w:lang w:val="en-US" w:eastAsia="zh-CN"/>
              </w:rPr>
            </w:pPr>
            <w:r>
              <w:rPr>
                <w:rFonts w:hint="eastAsia" w:ascii="宋体" w:hAnsi="宋体" w:eastAsia="宋体" w:cs="宋体"/>
                <w:sz w:val="24"/>
                <w:szCs w:val="24"/>
                <w:lang w:eastAsia="zh-CN"/>
              </w:rPr>
              <w:t>欠合理，可行性较差，基本满足工程需要</w:t>
            </w:r>
            <w:r>
              <w:rPr>
                <w:rFonts w:hint="eastAsia" w:ascii="宋体" w:hAnsi="宋体" w:cs="宋体"/>
                <w:sz w:val="24"/>
                <w:szCs w:val="24"/>
                <w:lang w:val="en-US" w:eastAsia="zh-CN"/>
              </w:rPr>
              <w:t>,0≤得分≤4</w:t>
            </w:r>
          </w:p>
        </w:tc>
        <w:tc>
          <w:tcPr>
            <w:tcW w:w="826" w:type="dxa"/>
            <w:vMerge w:val="continue"/>
            <w:vAlign w:val="center"/>
          </w:tcPr>
          <w:p>
            <w:pPr>
              <w:jc w:val="center"/>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2" w:hRule="atLeast"/>
        </w:trPr>
        <w:tc>
          <w:tcPr>
            <w:tcW w:w="811" w:type="dxa"/>
            <w:vAlign w:val="center"/>
          </w:tcPr>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报价</w:t>
            </w:r>
          </w:p>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部分</w:t>
            </w:r>
          </w:p>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w:t>
            </w:r>
            <w:r>
              <w:rPr>
                <w:rFonts w:hint="eastAsia" w:ascii="宋体" w:hAnsi="宋体" w:eastAsia="宋体" w:cs="宋体"/>
                <w:snapToGrid w:val="0"/>
                <w:kern w:val="0"/>
                <w:sz w:val="24"/>
                <w:szCs w:val="24"/>
                <w:lang w:val="en-US" w:eastAsia="zh-CN"/>
              </w:rPr>
              <w:t>2</w:t>
            </w:r>
            <w:r>
              <w:rPr>
                <w:rFonts w:hint="eastAsia" w:ascii="宋体" w:hAnsi="宋体" w:cs="宋体"/>
                <w:snapToGrid w:val="0"/>
                <w:kern w:val="0"/>
                <w:sz w:val="24"/>
                <w:szCs w:val="24"/>
                <w:lang w:val="en-US" w:eastAsia="zh-CN"/>
              </w:rPr>
              <w:t>0</w:t>
            </w:r>
            <w:r>
              <w:rPr>
                <w:rFonts w:hint="eastAsia" w:ascii="宋体" w:hAnsi="宋体" w:eastAsia="宋体" w:cs="宋体"/>
                <w:snapToGrid w:val="0"/>
                <w:kern w:val="0"/>
                <w:sz w:val="24"/>
                <w:szCs w:val="24"/>
              </w:rPr>
              <w:t>分)</w:t>
            </w:r>
          </w:p>
        </w:tc>
        <w:tc>
          <w:tcPr>
            <w:tcW w:w="8434" w:type="dxa"/>
            <w:gridSpan w:val="3"/>
            <w:vAlign w:val="center"/>
          </w:tcPr>
          <w:p>
            <w:pPr>
              <w:adjustRightInd w:val="0"/>
              <w:snapToGrid w:val="0"/>
              <w:rPr>
                <w:rFonts w:hint="eastAsia" w:ascii="宋体" w:hAnsi="宋体" w:eastAsia="宋体" w:cs="宋体"/>
                <w:sz w:val="24"/>
                <w:szCs w:val="24"/>
              </w:rPr>
            </w:pPr>
            <w:r>
              <w:rPr>
                <w:rFonts w:hint="eastAsia" w:ascii="宋体" w:hAnsi="宋体" w:eastAsia="宋体" w:cs="宋体"/>
                <w:sz w:val="24"/>
                <w:szCs w:val="24"/>
              </w:rPr>
              <w:t>满足采购文件实质性要求且最终价格最低的报价为评审基准价，其价格分为满分。其他供应商的价格分统一按照下列公式计算：</w:t>
            </w:r>
          </w:p>
          <w:p>
            <w:pPr>
              <w:adjustRightInd w:val="0"/>
              <w:snapToGrid w:val="0"/>
              <w:rPr>
                <w:rFonts w:hint="eastAsia" w:ascii="宋体" w:hAnsi="宋体" w:eastAsia="宋体" w:cs="宋体"/>
                <w:sz w:val="24"/>
                <w:szCs w:val="24"/>
                <w:lang w:val="en-US" w:eastAsia="zh-CN"/>
              </w:rPr>
            </w:pPr>
            <w:r>
              <w:rPr>
                <w:rFonts w:hint="eastAsia" w:ascii="宋体" w:hAnsi="宋体" w:eastAsia="宋体" w:cs="宋体"/>
                <w:sz w:val="24"/>
                <w:szCs w:val="24"/>
                <w:lang w:eastAsia="zh-CN"/>
              </w:rPr>
              <w:t>最终</w:t>
            </w:r>
            <w:r>
              <w:rPr>
                <w:rFonts w:hint="eastAsia" w:ascii="宋体" w:hAnsi="宋体" w:eastAsia="宋体" w:cs="宋体"/>
                <w:sz w:val="24"/>
                <w:szCs w:val="24"/>
              </w:rPr>
              <w:t>报价得分=（评审基准价/最终报价）×</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811" w:type="dxa"/>
            <w:vAlign w:val="center"/>
          </w:tcPr>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合计</w:t>
            </w:r>
          </w:p>
        </w:tc>
        <w:tc>
          <w:tcPr>
            <w:tcW w:w="8434" w:type="dxa"/>
            <w:gridSpan w:val="3"/>
            <w:vAlign w:val="center"/>
          </w:tcPr>
          <w:p>
            <w:pPr>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满分100分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ZjVhYmIwNWU1MTZiOGI2ODMyMTgxYzZmNTAyOWIifQ=="/>
    <w:docVar w:name="KSO_WPS_MARK_KEY" w:val="f5de0586-1335-462e-b7fe-00ce9213856c"/>
  </w:docVars>
  <w:rsids>
    <w:rsidRoot w:val="54671112"/>
    <w:rsid w:val="27865549"/>
    <w:rsid w:val="2EDB4623"/>
    <w:rsid w:val="340F387A"/>
    <w:rsid w:val="3BB353D5"/>
    <w:rsid w:val="3C4805ED"/>
    <w:rsid w:val="419E77DF"/>
    <w:rsid w:val="54671112"/>
    <w:rsid w:val="5DE46F21"/>
    <w:rsid w:val="67841660"/>
    <w:rsid w:val="6F910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firstLineChars="200"/>
    </w:pPr>
    <w:rPr>
      <w:rFonts w:ascii="Times New Roman" w:eastAsia="宋体"/>
      <w:spacing w:val="0"/>
      <w:kern w:val="0"/>
      <w:sz w:val="20"/>
      <w:szCs w:val="24"/>
      <w:lang w:val="en-US"/>
    </w:rPr>
  </w:style>
  <w:style w:type="paragraph" w:styleId="3">
    <w:name w:val="Body Text Indent"/>
    <w:basedOn w:val="1"/>
    <w:qFormat/>
    <w:uiPriority w:val="99"/>
    <w:pPr>
      <w:ind w:firstLine="244" w:firstLineChars="100"/>
    </w:pPr>
    <w:rPr>
      <w:rFonts w:ascii="楷体_GB2312" w:eastAsia="楷体_GB2312"/>
      <w:spacing w:val="2"/>
      <w:sz w:val="24"/>
      <w:szCs w:val="20"/>
      <w:lang w:val="en-GB"/>
    </w:rPr>
  </w:style>
  <w:style w:type="paragraph" w:styleId="4">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900</Words>
  <Characters>986</Characters>
  <Lines>0</Lines>
  <Paragraphs>0</Paragraphs>
  <TotalTime>21</TotalTime>
  <ScaleCrop>false</ScaleCrop>
  <LinksUpToDate>false</LinksUpToDate>
  <CharactersWithSpaces>987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2023-03-07T07:04:00Z</dcterms:created>
  <dc:creator>shen</dc:creator>
  <cp:lastModifiedBy>Acer</cp:lastModifiedBy>
  <dcterms:modified xsi:type="dcterms:W3CDTF">2023-03-14T00:31:12Z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4763FC372D8344B593F45DDB0922291B</vt:lpwstr>
  </property>
</Properties>
</file>