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400" w:lineRule="atLeast"/>
        <w:jc w:val="center"/>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jc w:val="center"/>
        <w:rPr>
          <w:rFonts w:ascii="宋体" w:hAnsi="宋体"/>
          <w:b/>
          <w:sz w:val="36"/>
        </w:rPr>
      </w:pPr>
      <w:r>
        <w:rPr>
          <w:rFonts w:hint="eastAsia" w:ascii="宋体" w:hAnsi="宋体"/>
          <w:b/>
          <w:sz w:val="36"/>
        </w:rPr>
        <w:t>采购文件</w:t>
      </w:r>
    </w:p>
    <w:p>
      <w:pPr>
        <w:pStyle w:val="35"/>
        <w:ind w:firstLine="723"/>
        <w:jc w:val="left"/>
        <w:rPr>
          <w:rFonts w:ascii="宋体" w:hAnsi="宋体"/>
          <w:b/>
          <w:sz w:val="36"/>
        </w:rPr>
      </w:pPr>
    </w:p>
    <w:p>
      <w:pPr>
        <w:pStyle w:val="35"/>
        <w:ind w:firstLine="723"/>
        <w:jc w:val="left"/>
        <w:rPr>
          <w:rFonts w:ascii="宋体" w:hAnsi="宋体"/>
          <w:b/>
          <w:sz w:val="36"/>
        </w:rPr>
      </w:pPr>
    </w:p>
    <w:p>
      <w:pPr>
        <w:pStyle w:val="35"/>
        <w:ind w:firstLine="723"/>
        <w:jc w:val="center"/>
        <w:rPr>
          <w:rFonts w:ascii="宋体" w:hAnsi="宋体"/>
          <w:b/>
          <w:sz w:val="36"/>
        </w:rPr>
      </w:pPr>
      <w:r>
        <w:rPr>
          <w:rFonts w:hint="eastAsia" w:ascii="宋体" w:hAnsi="宋体"/>
          <w:b/>
          <w:sz w:val="36"/>
        </w:rPr>
        <w:t>项目名称：北京大学第六医院</w:t>
      </w:r>
    </w:p>
    <w:p>
      <w:pPr>
        <w:pStyle w:val="35"/>
        <w:ind w:firstLine="723"/>
        <w:jc w:val="center"/>
        <w:rPr>
          <w:rFonts w:ascii="宋体" w:hAnsi="宋体"/>
          <w:b/>
          <w:sz w:val="36"/>
        </w:rPr>
      </w:pPr>
      <w:r>
        <w:rPr>
          <w:rFonts w:hint="eastAsia" w:ascii="宋体" w:hAnsi="宋体"/>
          <w:b/>
          <w:sz w:val="36"/>
        </w:rPr>
        <w:t>机房设备提升—运维监控系统升级改造项目</w:t>
      </w:r>
    </w:p>
    <w:p>
      <w:pPr>
        <w:pStyle w:val="35"/>
        <w:ind w:firstLine="723"/>
        <w:jc w:val="left"/>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firstLine="723"/>
        <w:rPr>
          <w:rFonts w:ascii="宋体" w:hAnsi="宋体"/>
          <w:b/>
          <w:sz w:val="36"/>
        </w:rPr>
      </w:pPr>
    </w:p>
    <w:p>
      <w:pPr>
        <w:pStyle w:val="35"/>
        <w:ind w:left="0" w:leftChars="0" w:firstLine="0" w:firstLineChars="0"/>
        <w:rPr>
          <w:rFonts w:ascii="宋体" w:hAnsi="宋体"/>
          <w:b/>
          <w:sz w:val="36"/>
        </w:rPr>
      </w:pPr>
    </w:p>
    <w:p>
      <w:pPr>
        <w:numPr>
          <w:ilvl w:val="0"/>
          <w:numId w:val="1"/>
        </w:numPr>
        <w:spacing w:before="240" w:line="400" w:lineRule="atLeast"/>
        <w:jc w:val="center"/>
        <w:rPr>
          <w:rFonts w:ascii="宋体" w:hAnsi="宋体"/>
          <w:b/>
          <w:sz w:val="36"/>
        </w:rPr>
      </w:pPr>
      <w:r>
        <w:rPr>
          <w:rFonts w:hint="eastAsia" w:ascii="宋体" w:hAnsi="宋体"/>
          <w:b/>
          <w:sz w:val="36"/>
        </w:rPr>
        <w:t>响应人须知</w:t>
      </w:r>
    </w:p>
    <w:p>
      <w:pPr>
        <w:pStyle w:val="35"/>
        <w:ind w:firstLine="3915" w:firstLineChars="1300"/>
      </w:pPr>
      <w:r>
        <w:rPr>
          <w:rFonts w:hint="eastAsia" w:ascii="宋体" w:hAnsi="宋体"/>
          <w:b/>
          <w:sz w:val="30"/>
          <w:szCs w:val="30"/>
        </w:rPr>
        <w:t>A说明</w:t>
      </w:r>
    </w:p>
    <w:p>
      <w:pPr>
        <w:pStyle w:val="35"/>
        <w:numPr>
          <w:ilvl w:val="0"/>
          <w:numId w:val="2"/>
        </w:numPr>
        <w:ind w:firstLine="480"/>
        <w:rPr>
          <w:rFonts w:ascii="宋体" w:hAnsi="宋体"/>
          <w:bCs/>
          <w:sz w:val="24"/>
        </w:rPr>
      </w:pPr>
      <w:r>
        <w:rPr>
          <w:rFonts w:hint="eastAsia" w:ascii="宋体" w:hAnsi="宋体"/>
          <w:bCs/>
          <w:sz w:val="24"/>
        </w:rPr>
        <w:t>适用范围：</w:t>
      </w:r>
    </w:p>
    <w:p>
      <w:pPr>
        <w:pStyle w:val="35"/>
        <w:ind w:left="840" w:leftChars="400" w:firstLine="0" w:firstLineChars="0"/>
        <w:rPr>
          <w:rFonts w:ascii="宋体" w:hAnsi="宋体"/>
          <w:bCs/>
          <w:sz w:val="24"/>
        </w:rPr>
      </w:pPr>
      <w:r>
        <w:rPr>
          <w:rFonts w:hint="eastAsia" w:ascii="宋体" w:hAnsi="宋体"/>
          <w:bCs/>
          <w:sz w:val="24"/>
        </w:rPr>
        <w:t xml:space="preserve">   1.1项目名称：北京大学第六医院机房设备提升—运维监控系统升级改造项目</w:t>
      </w:r>
    </w:p>
    <w:p>
      <w:pPr>
        <w:pStyle w:val="35"/>
        <w:ind w:left="840" w:leftChars="400" w:firstLine="0" w:firstLineChars="0"/>
        <w:rPr>
          <w:rFonts w:ascii="宋体" w:hAnsi="宋体"/>
          <w:bCs/>
          <w:sz w:val="24"/>
        </w:rPr>
      </w:pPr>
      <w:r>
        <w:rPr>
          <w:rFonts w:hint="eastAsia" w:ascii="宋体" w:hAnsi="宋体"/>
          <w:bCs/>
          <w:sz w:val="24"/>
        </w:rPr>
        <w:t xml:space="preserve">   1.2项目预算：</w:t>
      </w:r>
      <w:r>
        <w:rPr>
          <w:rFonts w:hint="eastAsia" w:ascii="宋体" w:hAnsi="宋体"/>
          <w:bCs/>
          <w:sz w:val="24"/>
          <w:highlight w:val="yellow"/>
        </w:rPr>
        <w:t>26万元</w:t>
      </w:r>
      <w:r>
        <w:rPr>
          <w:rFonts w:hint="eastAsia" w:ascii="宋体" w:hAnsi="宋体"/>
          <w:bCs/>
          <w:sz w:val="24"/>
        </w:rPr>
        <w:t>人民币。</w:t>
      </w:r>
    </w:p>
    <w:p>
      <w:pPr>
        <w:pStyle w:val="35"/>
        <w:ind w:left="840" w:leftChars="400" w:firstLine="0" w:firstLineChars="0"/>
        <w:rPr>
          <w:rFonts w:ascii="宋体" w:hAnsi="宋体"/>
          <w:bCs/>
          <w:sz w:val="24"/>
        </w:rPr>
      </w:pPr>
      <w:r>
        <w:rPr>
          <w:rFonts w:hint="eastAsia" w:ascii="宋体" w:hAnsi="宋体"/>
          <w:bCs/>
          <w:sz w:val="24"/>
        </w:rPr>
        <w:t xml:space="preserve">   1.3资金来源：财政资金。</w:t>
      </w:r>
    </w:p>
    <w:p>
      <w:pPr>
        <w:pStyle w:val="35"/>
        <w:ind w:left="840" w:leftChars="400" w:firstLine="0" w:firstLineChars="0"/>
        <w:rPr>
          <w:rFonts w:ascii="宋体" w:hAnsi="宋体"/>
          <w:bCs/>
          <w:sz w:val="24"/>
        </w:rPr>
      </w:pPr>
      <w:r>
        <w:rPr>
          <w:rFonts w:hint="eastAsia" w:ascii="宋体" w:hAnsi="宋体"/>
          <w:bCs/>
          <w:sz w:val="24"/>
        </w:rPr>
        <w:t xml:space="preserve">   1.4项目属性：货物类</w:t>
      </w:r>
    </w:p>
    <w:p>
      <w:pPr>
        <w:pStyle w:val="35"/>
        <w:ind w:left="840" w:leftChars="400" w:firstLine="0" w:firstLineChars="0"/>
        <w:rPr>
          <w:rFonts w:ascii="宋体" w:hAnsi="宋体"/>
          <w:bCs/>
          <w:sz w:val="24"/>
        </w:rPr>
      </w:pPr>
      <w:r>
        <w:rPr>
          <w:rFonts w:hint="eastAsia" w:ascii="宋体" w:hAnsi="宋体"/>
          <w:bCs/>
          <w:sz w:val="24"/>
        </w:rPr>
        <w:t xml:space="preserve">   1.5采购标的所属行业：软件和信息技术服务业</w:t>
      </w:r>
    </w:p>
    <w:p>
      <w:pPr>
        <w:pStyle w:val="35"/>
        <w:ind w:left="840" w:leftChars="400" w:firstLine="0" w:firstLineChars="0"/>
        <w:rPr>
          <w:rFonts w:ascii="宋体" w:hAnsi="宋体"/>
          <w:bCs/>
          <w:sz w:val="24"/>
        </w:rPr>
      </w:pPr>
      <w:r>
        <w:rPr>
          <w:rFonts w:hint="eastAsia" w:ascii="宋体" w:hAnsi="宋体"/>
          <w:bCs/>
          <w:sz w:val="24"/>
        </w:rPr>
        <w:t xml:space="preserve">   1.6本项目为非</w:t>
      </w:r>
      <w:r>
        <w:rPr>
          <w:rFonts w:hint="eastAsia" w:ascii="宋体" w:hAnsi="宋体"/>
          <w:bCs/>
          <w:sz w:val="24"/>
          <w:highlight w:val="none"/>
        </w:rPr>
        <w:t>专门面向中小企业</w:t>
      </w:r>
      <w:r>
        <w:rPr>
          <w:rFonts w:hint="eastAsia" w:ascii="宋体" w:hAnsi="宋体"/>
          <w:bCs/>
          <w:sz w:val="24"/>
        </w:rPr>
        <w:t>的项目。</w:t>
      </w:r>
    </w:p>
    <w:p>
      <w:pPr>
        <w:pStyle w:val="35"/>
        <w:numPr>
          <w:ilvl w:val="0"/>
          <w:numId w:val="2"/>
        </w:numPr>
        <w:ind w:firstLine="480"/>
        <w:rPr>
          <w:rFonts w:ascii="宋体" w:hAnsi="宋体"/>
          <w:bCs/>
          <w:sz w:val="24"/>
          <w:highlight w:val="yellow"/>
        </w:rPr>
      </w:pPr>
      <w:r>
        <w:rPr>
          <w:rFonts w:hint="eastAsia" w:ascii="宋体" w:hAnsi="宋体"/>
          <w:bCs/>
          <w:sz w:val="24"/>
          <w:highlight w:val="yellow"/>
        </w:rPr>
        <w:t>合格论证人的资格要求：</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符合《中华人民共和国招标投标法》要求的，具备独立企业法人资格，独立承担民事责任的法人单位；</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pPr>
        <w:pStyle w:val="17"/>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pPr>
        <w:pStyle w:val="17"/>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pPr>
        <w:pStyle w:val="17"/>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2.6营业执照复印件</w:t>
      </w:r>
      <w:r>
        <w:rPr>
          <w:rFonts w:hint="eastAsia" w:ascii="宋体" w:hAnsi="宋体" w:cs="宋体"/>
          <w:color w:val="444444"/>
          <w:shd w:val="clear" w:color="auto" w:fill="FFFFFF"/>
        </w:rPr>
        <w:t>；</w:t>
      </w:r>
    </w:p>
    <w:p>
      <w:pPr>
        <w:pStyle w:val="17"/>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pPr>
        <w:pStyle w:val="17"/>
        <w:widowControl/>
        <w:shd w:val="clear" w:color="auto" w:fill="FFFFFF"/>
        <w:spacing w:beforeAutospacing="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2.11不接受联合体，不得分包、转包、不接受联合体投标；</w:t>
      </w:r>
    </w:p>
    <w:p>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pPr>
        <w:pStyle w:val="17"/>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pPr>
        <w:pStyle w:val="17"/>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pPr>
        <w:pStyle w:val="17"/>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3.3“服务”系指需求文件中“服务需求书”规定响应人完成本项目应提供的</w:t>
      </w:r>
    </w:p>
    <w:p>
      <w:pPr>
        <w:pStyle w:val="17"/>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全部相关服务。</w:t>
      </w:r>
    </w:p>
    <w:p>
      <w:pPr>
        <w:pStyle w:val="17"/>
        <w:widowControl/>
        <w:shd w:val="clear" w:color="auto" w:fill="FFFFFF"/>
        <w:spacing w:beforeAutospacing="0" w:afterAutospacing="0" w:line="360" w:lineRule="atLeast"/>
        <w:rPr>
          <w:rFonts w:ascii="宋体" w:hAnsi="宋体" w:cs="宋体"/>
          <w:color w:val="000000"/>
          <w:shd w:val="clear" w:color="auto" w:fill="FFFFFF"/>
        </w:rPr>
      </w:pPr>
      <w:r>
        <w:rPr>
          <w:rFonts w:hint="eastAsia" w:ascii="宋体" w:hAnsi="宋体" w:cs="宋体"/>
          <w:color w:val="000000"/>
          <w:shd w:val="clear" w:color="auto" w:fill="FFFFFF"/>
        </w:rPr>
        <w:t xml:space="preserve">       4.投标委托</w:t>
      </w:r>
    </w:p>
    <w:p>
      <w:pPr>
        <w:spacing w:line="500" w:lineRule="exact"/>
        <w:ind w:left="1199" w:leftChars="228" w:hanging="720" w:hangingChars="30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pPr>
        <w:pStyle w:val="35"/>
        <w:ind w:firstLine="480"/>
        <w:rPr>
          <w:rFonts w:ascii="宋体"/>
          <w:sz w:val="24"/>
        </w:rPr>
      </w:pPr>
    </w:p>
    <w:p>
      <w:pPr>
        <w:pStyle w:val="35"/>
        <w:ind w:firstLine="480"/>
        <w:rPr>
          <w:rFonts w:ascii="宋体"/>
          <w:sz w:val="24"/>
        </w:rPr>
      </w:pPr>
    </w:p>
    <w:p>
      <w:pPr>
        <w:pStyle w:val="35"/>
        <w:ind w:firstLine="602"/>
        <w:jc w:val="center"/>
        <w:rPr>
          <w:rFonts w:ascii="宋体"/>
          <w:b/>
          <w:bCs/>
          <w:sz w:val="30"/>
          <w:szCs w:val="30"/>
        </w:rPr>
      </w:pPr>
      <w:r>
        <w:rPr>
          <w:rFonts w:hint="eastAsia" w:ascii="宋体"/>
          <w:b/>
          <w:bCs/>
          <w:sz w:val="30"/>
          <w:szCs w:val="30"/>
        </w:rPr>
        <w:t>B采购文件</w:t>
      </w:r>
    </w:p>
    <w:p>
      <w:pPr>
        <w:pStyle w:val="35"/>
        <w:numPr>
          <w:ilvl w:val="0"/>
          <w:numId w:val="3"/>
        </w:numPr>
        <w:ind w:firstLine="480"/>
        <w:rPr>
          <w:rFonts w:ascii="宋体"/>
          <w:sz w:val="24"/>
        </w:rPr>
      </w:pPr>
      <w:r>
        <w:rPr>
          <w:rFonts w:hint="eastAsia" w:ascii="宋体"/>
          <w:sz w:val="24"/>
        </w:rPr>
        <w:t>采购文件</w:t>
      </w:r>
    </w:p>
    <w:p>
      <w:pPr>
        <w:pStyle w:val="35"/>
        <w:ind w:left="840" w:leftChars="400" w:firstLine="480" w:firstLineChars="0"/>
        <w:rPr>
          <w:rFonts w:ascii="宋体"/>
          <w:sz w:val="24"/>
        </w:rPr>
      </w:pPr>
      <w:r>
        <w:rPr>
          <w:rFonts w:hint="eastAsia" w:ascii="宋体"/>
          <w:sz w:val="24"/>
        </w:rPr>
        <w:t>5.1采购文件由下述所列内容组成：</w:t>
      </w:r>
    </w:p>
    <w:p>
      <w:pPr>
        <w:pStyle w:val="35"/>
        <w:numPr>
          <w:ilvl w:val="0"/>
          <w:numId w:val="4"/>
        </w:numPr>
        <w:ind w:leftChars="0" w:firstLineChars="0"/>
        <w:rPr>
          <w:rFonts w:ascii="宋体"/>
          <w:sz w:val="24"/>
        </w:rPr>
      </w:pPr>
      <w:r>
        <w:rPr>
          <w:rFonts w:hint="eastAsia" w:ascii="宋体"/>
          <w:sz w:val="24"/>
        </w:rPr>
        <w:t>响应人须知</w:t>
      </w:r>
    </w:p>
    <w:p>
      <w:pPr>
        <w:pStyle w:val="35"/>
        <w:numPr>
          <w:ilvl w:val="0"/>
          <w:numId w:val="4"/>
        </w:numPr>
        <w:ind w:leftChars="0" w:firstLineChars="0"/>
        <w:rPr>
          <w:rFonts w:ascii="宋体"/>
          <w:sz w:val="24"/>
        </w:rPr>
      </w:pPr>
      <w:r>
        <w:rPr>
          <w:rFonts w:hint="eastAsia" w:ascii="宋体"/>
          <w:sz w:val="24"/>
        </w:rPr>
        <w:t>服务需求书</w:t>
      </w:r>
    </w:p>
    <w:p>
      <w:pPr>
        <w:pStyle w:val="35"/>
        <w:numPr>
          <w:ilvl w:val="0"/>
          <w:numId w:val="4"/>
        </w:numPr>
        <w:ind w:leftChars="0" w:firstLineChars="0"/>
        <w:rPr>
          <w:rFonts w:ascii="宋体"/>
          <w:sz w:val="24"/>
        </w:rPr>
      </w:pPr>
      <w:r>
        <w:rPr>
          <w:rFonts w:hint="eastAsia" w:ascii="宋体"/>
          <w:sz w:val="24"/>
        </w:rPr>
        <w:t>拟签订的合同文本</w:t>
      </w:r>
    </w:p>
    <w:p>
      <w:pPr>
        <w:pStyle w:val="35"/>
        <w:numPr>
          <w:ilvl w:val="0"/>
          <w:numId w:val="4"/>
        </w:numPr>
        <w:ind w:leftChars="0" w:firstLineChars="0"/>
        <w:rPr>
          <w:rFonts w:ascii="宋体"/>
          <w:sz w:val="24"/>
        </w:rPr>
      </w:pPr>
      <w:r>
        <w:rPr>
          <w:rFonts w:hint="eastAsia" w:ascii="宋体"/>
          <w:sz w:val="24"/>
        </w:rPr>
        <w:t>附件</w:t>
      </w:r>
    </w:p>
    <w:p>
      <w:pPr>
        <w:pStyle w:val="35"/>
        <w:numPr>
          <w:ilvl w:val="0"/>
          <w:numId w:val="4"/>
        </w:numPr>
        <w:spacing w:after="0"/>
        <w:ind w:left="1678" w:leftChars="0" w:firstLineChars="0"/>
        <w:rPr>
          <w:rFonts w:ascii="宋体"/>
          <w:sz w:val="24"/>
        </w:rPr>
      </w:pPr>
      <w:r>
        <w:rPr>
          <w:rFonts w:hint="eastAsia" w:ascii="宋体"/>
          <w:sz w:val="24"/>
        </w:rPr>
        <w:t>评标细则</w:t>
      </w:r>
    </w:p>
    <w:p>
      <w:pPr>
        <w:spacing w:afterLines="50"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响应人应仔细阅读采购文件的全部内容。按采购文件的要求提供论证文件并保证所提供的全部资料的真实性，以使其投标对采购文件做出实质性响应。否则，将导致投标无效。</w:t>
      </w:r>
    </w:p>
    <w:p>
      <w:pPr>
        <w:pStyle w:val="35"/>
        <w:numPr>
          <w:ilvl w:val="0"/>
          <w:numId w:val="3"/>
        </w:numPr>
        <w:ind w:firstLine="480"/>
        <w:rPr>
          <w:rFonts w:ascii="宋体"/>
          <w:sz w:val="24"/>
          <w:szCs w:val="20"/>
        </w:rPr>
      </w:pPr>
      <w:r>
        <w:rPr>
          <w:rFonts w:hint="eastAsia" w:ascii="宋体"/>
          <w:sz w:val="24"/>
          <w:szCs w:val="20"/>
        </w:rPr>
        <w:t>需求文件的修改</w:t>
      </w:r>
    </w:p>
    <w:p>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w:t>
      </w:r>
    </w:p>
    <w:p>
      <w:pPr>
        <w:spacing w:line="360" w:lineRule="auto"/>
        <w:ind w:left="1437" w:leftChars="627" w:hanging="120" w:hangingChars="50"/>
        <w:rPr>
          <w:rFonts w:ascii="宋体"/>
          <w:sz w:val="24"/>
        </w:rPr>
      </w:pPr>
      <w:r>
        <w:rPr>
          <w:rFonts w:hint="eastAsia" w:ascii="宋体"/>
          <w:sz w:val="24"/>
        </w:rPr>
        <w:t>种修改可能是采购人主动做出的，也可能是为了解答响应人要求采购人澄清</w:t>
      </w:r>
    </w:p>
    <w:p>
      <w:pPr>
        <w:spacing w:line="360" w:lineRule="auto"/>
        <w:ind w:left="1437" w:leftChars="627" w:hanging="120" w:hangingChars="50"/>
        <w:rPr>
          <w:rFonts w:ascii="宋体"/>
          <w:sz w:val="24"/>
        </w:rPr>
      </w:pPr>
      <w:r>
        <w:rPr>
          <w:rFonts w:hint="eastAsia" w:ascii="宋体"/>
          <w:sz w:val="24"/>
        </w:rPr>
        <w:t>的问题而做出的。</w:t>
      </w:r>
    </w:p>
    <w:p>
      <w:pPr>
        <w:pStyle w:val="35"/>
        <w:ind w:left="840" w:leftChars="400" w:firstLine="0" w:firstLineChars="0"/>
        <w:rPr>
          <w:rFonts w:ascii="宋体"/>
          <w:sz w:val="24"/>
        </w:rPr>
      </w:pPr>
    </w:p>
    <w:p>
      <w:pPr>
        <w:spacing w:line="360" w:lineRule="auto"/>
        <w:ind w:left="1276" w:leftChars="-78" w:hanging="1440" w:hangingChars="6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pPr>
        <w:spacing w:line="360" w:lineRule="auto"/>
        <w:ind w:left="1440" w:hanging="1440" w:hangingChars="600"/>
        <w:rPr>
          <w:rFonts w:ascii="宋体"/>
          <w:sz w:val="24"/>
        </w:rPr>
      </w:pPr>
      <w:r>
        <w:rPr>
          <w:rFonts w:hint="eastAsia" w:ascii="宋体"/>
          <w:sz w:val="24"/>
        </w:rPr>
        <w:t xml:space="preserve">           6.3为使响应人有足够的时间按采购文件的修改要求修正论证文件，采购人可</w:t>
      </w:r>
    </w:p>
    <w:p>
      <w:pPr>
        <w:spacing w:line="360" w:lineRule="auto"/>
        <w:ind w:left="1437" w:leftChars="627" w:hanging="120" w:hangingChars="50"/>
        <w:rPr>
          <w:rFonts w:ascii="宋体"/>
          <w:sz w:val="24"/>
        </w:rPr>
      </w:pPr>
      <w:r>
        <w:rPr>
          <w:rFonts w:hint="eastAsia" w:ascii="宋体"/>
          <w:sz w:val="24"/>
        </w:rPr>
        <w:t>酌情推迟论证的截止日期，并将此变更通知已报名的每一响应人。</w:t>
      </w:r>
    </w:p>
    <w:p>
      <w:pPr>
        <w:pStyle w:val="35"/>
        <w:ind w:left="960" w:leftChars="0" w:hanging="960" w:hangingChars="400"/>
        <w:rPr>
          <w:rFonts w:ascii="宋体"/>
          <w:sz w:val="24"/>
        </w:rPr>
      </w:pPr>
    </w:p>
    <w:p>
      <w:pPr>
        <w:pStyle w:val="35"/>
        <w:ind w:left="1205" w:leftChars="0" w:hanging="1205" w:hangingChars="400"/>
        <w:jc w:val="center"/>
        <w:rPr>
          <w:rFonts w:ascii="宋体"/>
          <w:b/>
          <w:bCs/>
          <w:sz w:val="30"/>
          <w:szCs w:val="30"/>
        </w:rPr>
      </w:pPr>
      <w:r>
        <w:rPr>
          <w:rFonts w:hint="eastAsia" w:ascii="宋体"/>
          <w:b/>
          <w:bCs/>
          <w:sz w:val="30"/>
          <w:szCs w:val="30"/>
        </w:rPr>
        <w:t>C响应文件</w:t>
      </w:r>
    </w:p>
    <w:p>
      <w:pPr>
        <w:pStyle w:val="35"/>
        <w:numPr>
          <w:ilvl w:val="0"/>
          <w:numId w:val="3"/>
        </w:numPr>
        <w:ind w:firstLine="480"/>
        <w:rPr>
          <w:rFonts w:ascii="宋体"/>
          <w:sz w:val="24"/>
        </w:rPr>
      </w:pPr>
      <w:r>
        <w:rPr>
          <w:rFonts w:hint="eastAsia" w:ascii="宋体"/>
          <w:sz w:val="24"/>
        </w:rPr>
        <w:t>响应文件的组成</w:t>
      </w:r>
    </w:p>
    <w:p>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pPr>
        <w:pStyle w:val="35"/>
        <w:ind w:firstLine="840" w:firstLineChars="350"/>
        <w:rPr>
          <w:rFonts w:ascii="宋体" w:hAnsi="宋体"/>
          <w:sz w:val="24"/>
        </w:rPr>
      </w:pPr>
      <w:r>
        <w:rPr>
          <w:rFonts w:hint="eastAsia" w:ascii="宋体" w:hAnsi="宋体"/>
          <w:sz w:val="24"/>
        </w:rPr>
        <w:t>7.2响应人对采购人做出的澄清文件均属于响应文件的组成部分。</w:t>
      </w:r>
    </w:p>
    <w:p>
      <w:pPr>
        <w:pStyle w:val="35"/>
        <w:numPr>
          <w:ilvl w:val="0"/>
          <w:numId w:val="3"/>
        </w:numPr>
        <w:ind w:firstLine="480"/>
        <w:rPr>
          <w:rFonts w:ascii="宋体" w:hAnsi="宋体"/>
          <w:sz w:val="24"/>
        </w:rPr>
      </w:pPr>
      <w:r>
        <w:rPr>
          <w:rFonts w:hint="eastAsia" w:ascii="宋体" w:hAnsi="宋体"/>
          <w:sz w:val="24"/>
        </w:rPr>
        <w:t>响应文件的编制</w:t>
      </w:r>
    </w:p>
    <w:p>
      <w:pPr>
        <w:pStyle w:val="35"/>
        <w:ind w:left="1320" w:leftChars="400" w:hanging="480" w:hangingChars="200"/>
        <w:rPr>
          <w:rFonts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pPr>
        <w:pStyle w:val="35"/>
        <w:numPr>
          <w:ilvl w:val="0"/>
          <w:numId w:val="5"/>
        </w:numPr>
        <w:ind w:leftChars="0" w:firstLineChars="0"/>
        <w:jc w:val="right"/>
        <w:rPr>
          <w:rFonts w:ascii="宋体"/>
          <w:b/>
          <w:sz w:val="24"/>
        </w:rPr>
      </w:pP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pPr>
        <w:pStyle w:val="35"/>
        <w:numPr>
          <w:ilvl w:val="0"/>
          <w:numId w:val="5"/>
        </w:numPr>
        <w:ind w:leftChars="0" w:firstLineChars="0"/>
      </w:pP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hAnsi="宋体"/>
          <w:b/>
          <w:bCs/>
          <w:sz w:val="24"/>
        </w:rPr>
        <w:t>）</w:t>
      </w:r>
      <w:r>
        <w:rPr>
          <w:rFonts w:hint="eastAsia" w:ascii="宋体"/>
          <w:b/>
          <w:sz w:val="24"/>
        </w:rPr>
        <w:t>；</w:t>
      </w:r>
    </w:p>
    <w:p>
      <w:pPr>
        <w:numPr>
          <w:ilvl w:val="0"/>
          <w:numId w:val="5"/>
        </w:numPr>
        <w:tabs>
          <w:tab w:val="left" w:pos="993"/>
        </w:tabs>
        <w:spacing w:line="360" w:lineRule="auto"/>
        <w:jc w:val="right"/>
        <w:rPr>
          <w:rFonts w:ascii="宋体"/>
          <w:b/>
          <w:color w:val="FF0000"/>
          <w:sz w:val="24"/>
        </w:rPr>
      </w:pPr>
      <w:r>
        <w:rPr>
          <w:rFonts w:hint="eastAsia" w:ascii="宋体"/>
          <w:b/>
          <w:color w:val="FF0000"/>
          <w:sz w:val="24"/>
        </w:rPr>
        <w:t>响应人所提供服务的服务商应为中小企业。响应人提供中小企业声明函。（格式见第四部分附件二）</w:t>
      </w:r>
    </w:p>
    <w:p>
      <w:pPr>
        <w:pStyle w:val="35"/>
        <w:numPr>
          <w:ilvl w:val="0"/>
          <w:numId w:val="5"/>
        </w:numPr>
        <w:ind w:leftChars="0" w:firstLineChars="0"/>
        <w:rPr>
          <w:rFonts w:ascii="宋体"/>
          <w:b/>
          <w:sz w:val="24"/>
        </w:rPr>
      </w:pP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pPr>
        <w:pStyle w:val="35"/>
        <w:numPr>
          <w:ilvl w:val="0"/>
          <w:numId w:val="5"/>
        </w:numPr>
        <w:ind w:leftChars="0" w:firstLineChars="0"/>
        <w:rPr>
          <w:rFonts w:ascii="宋体"/>
          <w:b/>
          <w:sz w:val="24"/>
        </w:rPr>
      </w:pPr>
      <w:r>
        <w:rPr>
          <w:rFonts w:hint="eastAsia" w:ascii="宋体"/>
          <w:b/>
          <w:sz w:val="24"/>
        </w:rPr>
        <w:t>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pPr>
        <w:pStyle w:val="35"/>
        <w:numPr>
          <w:ilvl w:val="0"/>
          <w:numId w:val="5"/>
        </w:numPr>
        <w:ind w:leftChars="0" w:firstLineChars="0"/>
        <w:rPr>
          <w:rFonts w:ascii="宋体" w:hAnsi="宋体" w:cs="宋体"/>
          <w:b/>
          <w:bCs/>
          <w:color w:val="000000"/>
          <w:sz w:val="24"/>
          <w:shd w:val="clear" w:color="auto" w:fill="FFFFFF"/>
        </w:rPr>
      </w:pPr>
      <w:r>
        <w:rPr>
          <w:rFonts w:hint="eastAsia" w:ascii="宋体" w:hAnsi="宋体" w:cs="宋体"/>
          <w:b/>
          <w:bCs/>
          <w:color w:val="000000"/>
          <w:sz w:val="24"/>
          <w:shd w:val="clear" w:color="auto" w:fill="FFFFFF"/>
        </w:rPr>
        <w:t>信用中国网，中国政府采购网失信被执行人、重大税收违法、严重违法失信行为查询记录截图。</w:t>
      </w:r>
    </w:p>
    <w:p>
      <w:pPr>
        <w:pStyle w:val="35"/>
        <w:numPr>
          <w:ilvl w:val="0"/>
          <w:numId w:val="5"/>
        </w:numPr>
        <w:ind w:leftChars="0" w:firstLineChars="0"/>
        <w:rPr>
          <w:rFonts w:ascii="宋体"/>
          <w:b/>
          <w:sz w:val="24"/>
        </w:rPr>
      </w:pPr>
      <w:r>
        <w:rPr>
          <w:rFonts w:hint="eastAsia" w:ascii="宋体"/>
          <w:b/>
          <w:sz w:val="24"/>
        </w:rPr>
        <w:t>响应人前三年内参加政府采购活动，无重大违法经营记录的承诺函（加盖响应人公章）；</w:t>
      </w:r>
    </w:p>
    <w:p>
      <w:pPr>
        <w:pStyle w:val="35"/>
        <w:numPr>
          <w:ilvl w:val="0"/>
          <w:numId w:val="5"/>
        </w:numPr>
        <w:ind w:leftChars="0" w:firstLineChars="0"/>
        <w:rPr>
          <w:rFonts w:ascii="宋体"/>
          <w:b/>
          <w:sz w:val="24"/>
        </w:rPr>
      </w:pPr>
      <w:r>
        <w:rPr>
          <w:rFonts w:hint="eastAsia" w:ascii="宋体"/>
          <w:b/>
          <w:sz w:val="24"/>
        </w:rPr>
        <w:t>采购文件要求的其他资质文件。</w:t>
      </w:r>
    </w:p>
    <w:p>
      <w:pPr>
        <w:pStyle w:val="35"/>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pPr>
        <w:pStyle w:val="35"/>
        <w:numPr>
          <w:ilvl w:val="0"/>
          <w:numId w:val="6"/>
        </w:numPr>
        <w:ind w:leftChars="0" w:firstLineChars="0"/>
        <w:rPr>
          <w:rFonts w:ascii="宋体"/>
          <w:b/>
          <w:sz w:val="24"/>
        </w:rPr>
      </w:pPr>
      <w:r>
        <w:rPr>
          <w:rFonts w:hint="eastAsia" w:ascii="宋体"/>
          <w:b/>
          <w:sz w:val="24"/>
        </w:rPr>
        <w:t>资格证明文件即报名资料所有内容</w:t>
      </w:r>
    </w:p>
    <w:p>
      <w:pPr>
        <w:pStyle w:val="35"/>
        <w:numPr>
          <w:ilvl w:val="0"/>
          <w:numId w:val="6"/>
        </w:numPr>
        <w:ind w:leftChars="0" w:firstLineChars="0"/>
        <w:rPr>
          <w:rFonts w:ascii="宋体"/>
          <w:b/>
          <w:sz w:val="24"/>
        </w:rPr>
      </w:pPr>
      <w:r>
        <w:rPr>
          <w:rFonts w:hint="eastAsia" w:ascii="宋体"/>
          <w:b/>
          <w:sz w:val="24"/>
        </w:rPr>
        <w:t>报价函（格式见第四部分附件三）</w:t>
      </w:r>
    </w:p>
    <w:p>
      <w:pPr>
        <w:pStyle w:val="35"/>
        <w:numPr>
          <w:ilvl w:val="0"/>
          <w:numId w:val="6"/>
        </w:numPr>
        <w:ind w:leftChars="0" w:firstLineChars="0"/>
        <w:rPr>
          <w:rFonts w:ascii="宋体"/>
          <w:b/>
          <w:sz w:val="24"/>
        </w:rPr>
      </w:pPr>
      <w:r>
        <w:rPr>
          <w:rFonts w:hint="eastAsia" w:ascii="宋体"/>
          <w:b/>
          <w:sz w:val="24"/>
        </w:rPr>
        <w:t>报价一览表（格式见第四部分附件四）</w:t>
      </w:r>
    </w:p>
    <w:p>
      <w:pPr>
        <w:pStyle w:val="35"/>
        <w:numPr>
          <w:ilvl w:val="0"/>
          <w:numId w:val="6"/>
        </w:numPr>
        <w:ind w:leftChars="0" w:firstLineChars="0"/>
        <w:rPr>
          <w:rFonts w:ascii="宋体"/>
          <w:b/>
          <w:sz w:val="24"/>
        </w:rPr>
      </w:pPr>
      <w:r>
        <w:rPr>
          <w:rFonts w:hint="eastAsia" w:ascii="宋体"/>
          <w:b/>
          <w:sz w:val="24"/>
        </w:rPr>
        <w:t>关于资格的声明函（格式见第四部分附件五）</w:t>
      </w:r>
    </w:p>
    <w:p>
      <w:pPr>
        <w:pStyle w:val="35"/>
        <w:numPr>
          <w:ilvl w:val="0"/>
          <w:numId w:val="6"/>
        </w:numPr>
        <w:ind w:leftChars="0" w:firstLineChars="0"/>
        <w:rPr>
          <w:rFonts w:ascii="宋体"/>
          <w:b/>
          <w:sz w:val="24"/>
        </w:rPr>
      </w:pPr>
      <w:r>
        <w:rPr>
          <w:rFonts w:hint="eastAsia" w:ascii="宋体"/>
          <w:b/>
          <w:sz w:val="24"/>
        </w:rPr>
        <w:t>响应人单位情况表（格式见第四部分附件六）</w:t>
      </w:r>
    </w:p>
    <w:p>
      <w:pPr>
        <w:pStyle w:val="35"/>
        <w:numPr>
          <w:ilvl w:val="0"/>
          <w:numId w:val="6"/>
        </w:numPr>
        <w:ind w:leftChars="0" w:firstLineChars="0"/>
        <w:rPr>
          <w:rFonts w:ascii="宋体"/>
          <w:b/>
          <w:sz w:val="24"/>
        </w:rPr>
      </w:pPr>
      <w:r>
        <w:rPr>
          <w:rFonts w:hint="eastAsia" w:ascii="宋体"/>
          <w:b/>
          <w:sz w:val="24"/>
        </w:rPr>
        <w:t>项目服务人员情况表（格式见第四部分附件七）</w:t>
      </w:r>
    </w:p>
    <w:p>
      <w:pPr>
        <w:pStyle w:val="35"/>
        <w:numPr>
          <w:ilvl w:val="0"/>
          <w:numId w:val="6"/>
        </w:numPr>
        <w:ind w:leftChars="0" w:firstLineChars="0"/>
        <w:rPr>
          <w:rFonts w:ascii="宋体"/>
          <w:b/>
          <w:sz w:val="24"/>
        </w:rPr>
      </w:pPr>
      <w:r>
        <w:rPr>
          <w:rFonts w:hint="eastAsia" w:ascii="宋体"/>
          <w:b/>
          <w:sz w:val="24"/>
        </w:rPr>
        <w:t>合同条款承诺函（格式见第四部分附件八）</w:t>
      </w:r>
    </w:p>
    <w:p>
      <w:pPr>
        <w:pStyle w:val="35"/>
        <w:numPr>
          <w:ilvl w:val="0"/>
          <w:numId w:val="6"/>
        </w:numPr>
        <w:ind w:leftChars="0" w:firstLineChars="0"/>
        <w:rPr>
          <w:rFonts w:ascii="宋体"/>
          <w:b/>
          <w:sz w:val="24"/>
        </w:rPr>
      </w:pPr>
      <w:r>
        <w:rPr>
          <w:rFonts w:hint="eastAsia" w:ascii="宋体"/>
          <w:b/>
          <w:sz w:val="24"/>
        </w:rPr>
        <w:t>采购文件要求提供的主要业绩清单及相关证明文件</w:t>
      </w:r>
    </w:p>
    <w:p>
      <w:pPr>
        <w:pStyle w:val="35"/>
        <w:numPr>
          <w:ilvl w:val="0"/>
          <w:numId w:val="6"/>
        </w:numPr>
        <w:ind w:leftChars="0" w:firstLineChars="0"/>
        <w:rPr>
          <w:rFonts w:ascii="宋体"/>
          <w:b/>
          <w:sz w:val="24"/>
        </w:rPr>
      </w:pPr>
      <w:r>
        <w:rPr>
          <w:rFonts w:hint="eastAsia" w:ascii="宋体"/>
          <w:b/>
          <w:sz w:val="24"/>
        </w:rPr>
        <w:t>服务条款应答表（格式见第四部分附件九）</w:t>
      </w:r>
    </w:p>
    <w:p>
      <w:pPr>
        <w:pStyle w:val="35"/>
        <w:numPr>
          <w:ilvl w:val="0"/>
          <w:numId w:val="6"/>
        </w:numPr>
        <w:ind w:leftChars="0" w:firstLineChars="0"/>
        <w:rPr>
          <w:rFonts w:ascii="宋体"/>
          <w:b/>
          <w:sz w:val="24"/>
        </w:rPr>
      </w:pPr>
      <w:r>
        <w:rPr>
          <w:rFonts w:hint="eastAsia" w:ascii="宋体"/>
          <w:b/>
          <w:sz w:val="24"/>
        </w:rPr>
        <w:t>服务方案</w:t>
      </w:r>
    </w:p>
    <w:p>
      <w:pPr>
        <w:pStyle w:val="35"/>
        <w:numPr>
          <w:ilvl w:val="0"/>
          <w:numId w:val="6"/>
        </w:numPr>
        <w:ind w:leftChars="0" w:firstLineChars="0"/>
        <w:rPr>
          <w:rFonts w:ascii="宋体"/>
          <w:b/>
          <w:sz w:val="24"/>
        </w:rPr>
      </w:pPr>
      <w:r>
        <w:rPr>
          <w:rFonts w:hint="eastAsia" w:ascii="宋体"/>
          <w:b/>
          <w:sz w:val="24"/>
        </w:rPr>
        <w:t>响应人认为其他需要说明或提供的文件</w:t>
      </w:r>
    </w:p>
    <w:p>
      <w:pPr>
        <w:pStyle w:val="35"/>
        <w:numPr>
          <w:ilvl w:val="0"/>
          <w:numId w:val="3"/>
        </w:numPr>
        <w:ind w:firstLine="480"/>
        <w:rPr>
          <w:rFonts w:ascii="宋体"/>
          <w:bCs/>
          <w:sz w:val="24"/>
        </w:rPr>
      </w:pPr>
      <w:r>
        <w:rPr>
          <w:rFonts w:hint="eastAsia" w:ascii="宋体"/>
          <w:bCs/>
          <w:sz w:val="24"/>
        </w:rPr>
        <w:t>论证报价</w:t>
      </w:r>
    </w:p>
    <w:p>
      <w:pPr>
        <w:spacing w:line="360" w:lineRule="auto"/>
        <w:ind w:left="1440" w:hanging="1440" w:hangingChars="600"/>
        <w:rPr>
          <w:rFonts w:ascii="宋体"/>
          <w:sz w:val="24"/>
        </w:rPr>
      </w:pPr>
      <w:r>
        <w:rPr>
          <w:rFonts w:hint="eastAsia" w:ascii="宋体"/>
          <w:bCs/>
          <w:sz w:val="24"/>
        </w:rPr>
        <w:t xml:space="preserve"> </w:t>
      </w:r>
      <w:r>
        <w:rPr>
          <w:rFonts w:hint="eastAsia" w:ascii="宋体"/>
          <w:sz w:val="24"/>
        </w:rPr>
        <w:t xml:space="preserve">          9.1论证报价为完成本项目服务要求的各项费用，包括服务及税费等相关费用。</w:t>
      </w:r>
    </w:p>
    <w:p>
      <w:pPr>
        <w:spacing w:line="360" w:lineRule="auto"/>
        <w:ind w:left="1437" w:leftChars="627" w:hanging="120" w:hangingChars="50"/>
        <w:rPr>
          <w:rFonts w:ascii="宋体"/>
          <w:sz w:val="24"/>
        </w:rPr>
      </w:pPr>
      <w:r>
        <w:rPr>
          <w:rFonts w:hint="eastAsia" w:ascii="宋体"/>
          <w:sz w:val="24"/>
        </w:rPr>
        <w:t>9.2所有项目均以人民币报价。</w:t>
      </w:r>
    </w:p>
    <w:p>
      <w:pPr>
        <w:spacing w:line="360" w:lineRule="auto"/>
        <w:ind w:left="1437" w:leftChars="627" w:hanging="120" w:hangingChars="50"/>
        <w:rPr>
          <w:rFonts w:ascii="宋体"/>
          <w:sz w:val="24"/>
        </w:rPr>
      </w:pPr>
      <w:r>
        <w:rPr>
          <w:rFonts w:hint="eastAsia" w:ascii="宋体"/>
          <w:sz w:val="24"/>
        </w:rPr>
        <w:t>9.3响应人要按需求文件报价一览表（统一格式）的内容填写，并由法人代表</w:t>
      </w:r>
    </w:p>
    <w:p>
      <w:pPr>
        <w:spacing w:line="360" w:lineRule="auto"/>
        <w:ind w:left="1437" w:leftChars="627" w:hanging="120" w:hangingChars="50"/>
        <w:rPr>
          <w:rFonts w:ascii="宋体"/>
          <w:sz w:val="24"/>
        </w:rPr>
      </w:pPr>
      <w:r>
        <w:rPr>
          <w:rFonts w:hint="eastAsia" w:ascii="宋体"/>
          <w:sz w:val="24"/>
        </w:rPr>
        <w:t>或授权代表签署。由分项单价计算出的价格应与论证报价一致。</w:t>
      </w:r>
    </w:p>
    <w:p>
      <w:pPr>
        <w:spacing w:line="360" w:lineRule="auto"/>
        <w:ind w:left="1437" w:leftChars="627" w:hanging="120" w:hangingChars="50"/>
        <w:rPr>
          <w:rFonts w:ascii="宋体"/>
          <w:sz w:val="24"/>
        </w:rPr>
      </w:pPr>
      <w:r>
        <w:rPr>
          <w:rFonts w:hint="eastAsia" w:ascii="宋体"/>
          <w:sz w:val="24"/>
        </w:rPr>
        <w:t>9.4投标报价要有竞争性，最低报价不是入选中标供应商的唯一条件。</w:t>
      </w:r>
    </w:p>
    <w:p>
      <w:pPr>
        <w:pStyle w:val="35"/>
        <w:ind w:left="1260" w:leftChars="0" w:firstLine="0" w:firstLineChars="0"/>
        <w:rPr>
          <w:rFonts w:ascii="宋体"/>
          <w:sz w:val="24"/>
        </w:rPr>
      </w:pPr>
    </w:p>
    <w:p>
      <w:pPr>
        <w:pStyle w:val="35"/>
        <w:ind w:left="1260" w:leftChars="0" w:firstLine="0" w:firstLineChars="0"/>
        <w:jc w:val="center"/>
        <w:rPr>
          <w:rFonts w:ascii="宋体"/>
          <w:b/>
          <w:bCs/>
          <w:sz w:val="36"/>
          <w:szCs w:val="36"/>
        </w:rPr>
      </w:pPr>
      <w:r>
        <w:rPr>
          <w:rFonts w:hint="eastAsia" w:ascii="宋体"/>
          <w:b/>
          <w:bCs/>
          <w:sz w:val="36"/>
          <w:szCs w:val="36"/>
        </w:rPr>
        <w:t>D评标</w:t>
      </w:r>
    </w:p>
    <w:p>
      <w:pPr>
        <w:pStyle w:val="35"/>
        <w:numPr>
          <w:ilvl w:val="0"/>
          <w:numId w:val="3"/>
        </w:numPr>
        <w:ind w:firstLine="480"/>
        <w:jc w:val="left"/>
        <w:rPr>
          <w:rFonts w:ascii="宋体"/>
          <w:sz w:val="24"/>
        </w:rPr>
      </w:pPr>
      <w:r>
        <w:rPr>
          <w:rFonts w:hint="eastAsia" w:ascii="宋体"/>
          <w:sz w:val="24"/>
        </w:rPr>
        <w:t>评标</w:t>
      </w:r>
    </w:p>
    <w:p>
      <w:pPr>
        <w:spacing w:line="360" w:lineRule="auto"/>
        <w:ind w:left="1440" w:hanging="1440" w:hangingChars="600"/>
        <w:rPr>
          <w:rFonts w:ascii="宋体"/>
          <w:sz w:val="24"/>
        </w:rPr>
      </w:pPr>
      <w:r>
        <w:rPr>
          <w:rFonts w:hint="eastAsia" w:ascii="宋体"/>
          <w:sz w:val="24"/>
        </w:rPr>
        <w:t xml:space="preserve">           10.1采购人根据项目特点负责组织评标委员会，评标委员会负责对具备实质</w:t>
      </w:r>
    </w:p>
    <w:p>
      <w:pPr>
        <w:spacing w:line="360" w:lineRule="auto"/>
        <w:ind w:left="1437" w:leftChars="627" w:hanging="120" w:hangingChars="50"/>
        <w:rPr>
          <w:rFonts w:ascii="宋体"/>
          <w:sz w:val="24"/>
        </w:rPr>
      </w:pPr>
      <w:r>
        <w:rPr>
          <w:rFonts w:hint="eastAsia" w:ascii="宋体"/>
          <w:sz w:val="24"/>
        </w:rPr>
        <w:t>性响应的论证文件进行评估和比较。</w:t>
      </w:r>
    </w:p>
    <w:p>
      <w:pPr>
        <w:spacing w:line="360" w:lineRule="auto"/>
        <w:ind w:left="1440" w:hanging="1440" w:hangingChars="600"/>
        <w:rPr>
          <w:rFonts w:ascii="宋体"/>
          <w:sz w:val="24"/>
        </w:rPr>
      </w:pPr>
      <w:r>
        <w:rPr>
          <w:rFonts w:hint="eastAsia" w:ascii="宋体"/>
          <w:sz w:val="24"/>
        </w:rPr>
        <w:t xml:space="preserve">           10.2根据国家相关法律法规的相关规定，评标委员会由技术专家、经济专家</w:t>
      </w:r>
    </w:p>
    <w:p>
      <w:pPr>
        <w:pStyle w:val="2"/>
        <w:ind w:left="1275" w:leftChars="607" w:firstLine="0"/>
      </w:pPr>
      <w:r>
        <w:rPr>
          <w:rFonts w:hint="eastAsia" w:ascii="宋体"/>
          <w:sz w:val="24"/>
        </w:rPr>
        <w:t>等组成。</w:t>
      </w:r>
    </w:p>
    <w:p>
      <w:pPr>
        <w:spacing w:line="360" w:lineRule="auto"/>
        <w:ind w:left="1437" w:leftChars="627" w:hanging="120" w:hangingChars="50"/>
        <w:rPr>
          <w:rFonts w:ascii="宋体"/>
          <w:sz w:val="24"/>
        </w:rPr>
      </w:pPr>
      <w:r>
        <w:rPr>
          <w:rFonts w:hint="eastAsia" w:ascii="宋体"/>
          <w:sz w:val="24"/>
        </w:rPr>
        <w:t>10.3评标原则及办法</w:t>
      </w:r>
    </w:p>
    <w:p>
      <w:pPr>
        <w:spacing w:line="360" w:lineRule="auto"/>
        <w:ind w:left="1440" w:hanging="1440" w:hangingChars="600"/>
        <w:rPr>
          <w:rFonts w:ascii="宋体"/>
          <w:sz w:val="24"/>
        </w:rPr>
      </w:pPr>
      <w:r>
        <w:rPr>
          <w:rFonts w:hint="eastAsia" w:ascii="宋体"/>
          <w:sz w:val="24"/>
        </w:rPr>
        <w:t xml:space="preserve">           10.3.1对所有响应人的论证文件，都按相同的程序和标准；</w:t>
      </w:r>
    </w:p>
    <w:p>
      <w:pPr>
        <w:spacing w:line="360" w:lineRule="auto"/>
        <w:ind w:left="1440" w:hanging="1440" w:hangingChars="600"/>
        <w:rPr>
          <w:rFonts w:ascii="宋体"/>
          <w:sz w:val="24"/>
        </w:rPr>
      </w:pPr>
      <w:r>
        <w:rPr>
          <w:rFonts w:hint="eastAsia" w:ascii="宋体"/>
          <w:sz w:val="24"/>
        </w:rPr>
        <w:t xml:space="preserve">           10.3.2评标严格按照需求文件的要求和条件进行；</w:t>
      </w:r>
    </w:p>
    <w:p>
      <w:pPr>
        <w:spacing w:line="360" w:lineRule="auto"/>
        <w:ind w:left="1440" w:hanging="1440" w:hangingChars="600"/>
        <w:rPr>
          <w:rFonts w:ascii="宋体"/>
          <w:sz w:val="24"/>
        </w:rPr>
      </w:pPr>
      <w:r>
        <w:rPr>
          <w:rFonts w:hint="eastAsia" w:ascii="宋体"/>
          <w:sz w:val="24"/>
        </w:rPr>
        <w:t xml:space="preserve">           10.3.3评标委员会采用综合比较和分项打分相结合的评标方法，对所有实质</w:t>
      </w:r>
    </w:p>
    <w:p>
      <w:pPr>
        <w:spacing w:line="360" w:lineRule="auto"/>
        <w:ind w:left="1437" w:leftChars="627" w:hanging="120" w:hangingChars="50"/>
        <w:rPr>
          <w:rFonts w:ascii="宋体"/>
          <w:sz w:val="24"/>
        </w:rPr>
      </w:pPr>
      <w:r>
        <w:rPr>
          <w:rFonts w:hint="eastAsia" w:ascii="宋体"/>
          <w:sz w:val="24"/>
        </w:rPr>
        <w:t>性响应的投标进行综合打分、排序，按最终得分由高向低排序，推荐综合得</w:t>
      </w:r>
    </w:p>
    <w:p>
      <w:pPr>
        <w:spacing w:line="360" w:lineRule="auto"/>
        <w:ind w:left="1437" w:leftChars="627" w:hanging="120" w:hangingChars="50"/>
        <w:rPr>
          <w:rFonts w:ascii="宋体"/>
          <w:sz w:val="24"/>
        </w:rPr>
      </w:pPr>
      <w:r>
        <w:rPr>
          <w:rFonts w:hint="eastAsia" w:ascii="宋体"/>
          <w:sz w:val="24"/>
        </w:rPr>
        <w:t>分最高的为中标候选人；</w:t>
      </w:r>
    </w:p>
    <w:p>
      <w:pPr>
        <w:spacing w:line="360" w:lineRule="auto"/>
        <w:ind w:left="1440" w:hanging="1440" w:hangingChars="600"/>
        <w:rPr>
          <w:rFonts w:ascii="宋体"/>
          <w:sz w:val="24"/>
        </w:rPr>
      </w:pPr>
      <w:r>
        <w:rPr>
          <w:rFonts w:hint="eastAsia" w:ascii="宋体"/>
          <w:sz w:val="24"/>
        </w:rPr>
        <w:t xml:space="preserve">           10.3.4评议时按照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pPr>
        <w:pStyle w:val="35"/>
        <w:ind w:left="840" w:leftChars="400" w:firstLine="0" w:firstLineChars="0"/>
        <w:jc w:val="left"/>
        <w:rPr>
          <w:rFonts w:ascii="宋体"/>
          <w:sz w:val="24"/>
        </w:rPr>
      </w:pPr>
    </w:p>
    <w:p>
      <w:pPr>
        <w:pStyle w:val="35"/>
        <w:ind w:left="1260" w:leftChars="0" w:firstLine="0" w:firstLineChars="0"/>
        <w:jc w:val="center"/>
        <w:rPr>
          <w:rFonts w:ascii="宋体"/>
          <w:b/>
          <w:bCs/>
          <w:sz w:val="36"/>
          <w:szCs w:val="36"/>
        </w:rPr>
      </w:pPr>
      <w:r>
        <w:rPr>
          <w:rFonts w:hint="eastAsia" w:ascii="宋体"/>
          <w:b/>
          <w:bCs/>
          <w:sz w:val="36"/>
          <w:szCs w:val="36"/>
        </w:rPr>
        <w:t>E 确定中标供应商候选人</w:t>
      </w:r>
    </w:p>
    <w:p>
      <w:pPr>
        <w:pStyle w:val="35"/>
        <w:ind w:left="0" w:leftChars="0" w:firstLine="1200" w:firstLineChars="500"/>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pPr>
        <w:pStyle w:val="35"/>
        <w:ind w:left="1197" w:leftChars="570" w:firstLine="0" w:firstLineChars="0"/>
        <w:rPr>
          <w:rFonts w:ascii="宋体"/>
          <w:sz w:val="24"/>
        </w:rPr>
      </w:pPr>
      <w:r>
        <w:rPr>
          <w:rFonts w:hint="eastAsia" w:ascii="宋体"/>
          <w:sz w:val="24"/>
        </w:rPr>
        <w:t>11.2评标结束后，采购人将以邮件方式通知中标供应商，并发放论证结果告知书。</w:t>
      </w:r>
    </w:p>
    <w:p>
      <w:pPr>
        <w:pStyle w:val="35"/>
        <w:ind w:left="0" w:leftChars="0" w:firstLine="1200" w:firstLineChars="500"/>
        <w:rPr>
          <w:rFonts w:ascii="宋体"/>
          <w:sz w:val="24"/>
        </w:rPr>
      </w:pPr>
      <w:r>
        <w:rPr>
          <w:rFonts w:hint="eastAsia" w:ascii="宋体"/>
          <w:sz w:val="24"/>
        </w:rPr>
        <w:t>11.3采购人不对响应人未中标供应商原因做出解释。</w:t>
      </w:r>
    </w:p>
    <w:p>
      <w:pPr>
        <w:pStyle w:val="35"/>
        <w:ind w:left="0" w:leftChars="0" w:firstLine="1200" w:firstLineChars="500"/>
        <w:rPr>
          <w:rFonts w:ascii="宋体"/>
          <w:sz w:val="24"/>
        </w:rPr>
      </w:pPr>
      <w:r>
        <w:rPr>
          <w:rFonts w:hint="eastAsia" w:ascii="宋体"/>
          <w:sz w:val="24"/>
        </w:rPr>
        <w:t>11.4中标供应商应按论证结果告知书中规定的时间与采购人签订合同。</w:t>
      </w: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1260" w:leftChars="0" w:firstLine="0" w:firstLineChars="0"/>
        <w:rPr>
          <w:rFonts w:ascii="宋体"/>
          <w:sz w:val="24"/>
        </w:rPr>
      </w:pPr>
    </w:p>
    <w:p>
      <w:pPr>
        <w:pStyle w:val="35"/>
        <w:ind w:left="0" w:leftChars="0" w:firstLine="0" w:firstLineChars="0"/>
        <w:rPr>
          <w:rFonts w:ascii="宋体"/>
          <w:sz w:val="24"/>
        </w:rPr>
      </w:pPr>
    </w:p>
    <w:p>
      <w:pPr>
        <w:pStyle w:val="35"/>
        <w:numPr>
          <w:ilvl w:val="0"/>
          <w:numId w:val="1"/>
        </w:numPr>
        <w:ind w:left="0" w:leftChars="0" w:firstLine="0" w:firstLineChars="0"/>
        <w:jc w:val="center"/>
        <w:rPr>
          <w:rFonts w:ascii="宋体"/>
          <w:b/>
          <w:bCs/>
          <w:sz w:val="36"/>
          <w:szCs w:val="36"/>
        </w:rPr>
      </w:pPr>
      <w:r>
        <w:rPr>
          <w:rFonts w:hint="eastAsia" w:ascii="宋体"/>
          <w:b/>
          <w:bCs/>
          <w:sz w:val="36"/>
          <w:szCs w:val="36"/>
        </w:rPr>
        <w:t>服务需求书</w:t>
      </w:r>
    </w:p>
    <w:p>
      <w:pPr>
        <w:spacing w:beforeLines="50" w:afterLines="50" w:line="360" w:lineRule="auto"/>
        <w:rPr>
          <w:rFonts w:ascii="宋体" w:hAnsi="宋体"/>
          <w:b/>
          <w:bCs/>
        </w:rPr>
      </w:pPr>
      <w:r>
        <w:rPr>
          <w:rFonts w:hint="eastAsia" w:ascii="宋体" w:hAnsi="宋体"/>
          <w:b/>
          <w:bCs/>
        </w:rPr>
        <w:t>一、项目背景</w:t>
      </w:r>
    </w:p>
    <w:p>
      <w:pPr>
        <w:spacing w:beforeLines="50" w:afterLines="50" w:line="360" w:lineRule="auto"/>
        <w:ind w:firstLine="420" w:firstLineChars="200"/>
        <w:rPr>
          <w:rFonts w:ascii="宋体" w:hAnsi="宋体"/>
          <w:szCs w:val="21"/>
        </w:rPr>
      </w:pPr>
      <w:r>
        <w:rPr>
          <w:rFonts w:hint="eastAsia" w:ascii="宋体" w:hAnsi="宋体"/>
          <w:szCs w:val="21"/>
        </w:rPr>
        <w:t>当前我院正在按照科技引领、信息支撑的方针指导下，加快构建纵向贯通、横向集成、共享共用、安全可靠的医院信息化综合平台。经过多年的信息化建设，我院已经建立了相对完善的医院内部信息系统，包括全院</w:t>
      </w:r>
      <w:r>
        <w:rPr>
          <w:rFonts w:ascii="宋体" w:hAnsi="宋体"/>
          <w:szCs w:val="21"/>
        </w:rPr>
        <w:t>HIS信息系统、PACS系统、LIS系统、电子病历、手术麻醉、移动护理、数据平台等系统，基本涵盖临床和管理的大部分业务场景，满足了患者就诊与医护人员的临床需要，为临床科室的日常工作带来了便利，相应的诊疗工作效率得到明显的提升。但是随着业务量的不断增大以及用户的不断增多，对信息化硬件和软件的要求也越来越高。目前仅通过人工运维</w:t>
      </w:r>
      <w:r>
        <w:rPr>
          <w:rFonts w:hint="eastAsia" w:ascii="宋体" w:hAnsi="宋体"/>
          <w:szCs w:val="21"/>
        </w:rPr>
        <w:t>难以做到监控和预测由主机服务器、业务系统、数据库、存储系统、网络系统等组成的复杂环境产生的故障；同时对应用系统运行异常也无法做到快速判定和预测。进而对终端的服务请求异常以及硬件或者软件的重大故障难以监控发生过程，从而无法从根本上及时改善和解决信息化故障给医院整体高效运营带来的潜在风险与问题。</w:t>
      </w:r>
    </w:p>
    <w:p>
      <w:pPr>
        <w:spacing w:beforeLines="50" w:afterLines="50" w:line="360" w:lineRule="auto"/>
        <w:ind w:firstLine="420" w:firstLineChars="200"/>
        <w:rPr>
          <w:rFonts w:ascii="宋体" w:hAnsi="宋体"/>
          <w:szCs w:val="21"/>
        </w:rPr>
      </w:pPr>
      <w:r>
        <w:rPr>
          <w:rFonts w:hint="eastAsia" w:ascii="宋体" w:hAnsi="宋体"/>
          <w:szCs w:val="21"/>
        </w:rPr>
        <w:t>因此我院需根据智慧医院建设、互联互通、国家信息系统等级保护</w:t>
      </w:r>
      <w:r>
        <w:rPr>
          <w:rFonts w:ascii="宋体" w:hAnsi="宋体"/>
          <w:szCs w:val="21"/>
        </w:rPr>
        <w:t>2.0体系等相关要求，</w:t>
      </w:r>
      <w:r>
        <w:rPr>
          <w:rFonts w:hint="eastAsia" w:ascii="宋体" w:hAnsi="宋体"/>
          <w:szCs w:val="21"/>
        </w:rPr>
        <w:t>建立一套健全“业务级”信息系统安全运维监控保障管理体系，实现对业务系统、软件、网络、设备等资源的全方位、立体化、智能化机房设备运维监控保障管理平台。实现对</w:t>
      </w:r>
      <w:r>
        <w:rPr>
          <w:rFonts w:ascii="宋体" w:hAnsi="宋体"/>
          <w:szCs w:val="21"/>
        </w:rPr>
        <w:t>IT设备、信息系统运行状态的实时监控、告警，提升运维管理效率。</w:t>
      </w:r>
    </w:p>
    <w:p>
      <w:pPr>
        <w:spacing w:beforeLines="50" w:afterLines="50" w:line="360" w:lineRule="auto"/>
        <w:rPr>
          <w:rFonts w:ascii="宋体" w:hAnsi="宋体"/>
          <w:b/>
          <w:bCs/>
        </w:rPr>
      </w:pPr>
      <w:r>
        <w:rPr>
          <w:rFonts w:hint="eastAsia" w:ascii="宋体" w:hAnsi="宋体"/>
          <w:b/>
          <w:bCs/>
        </w:rPr>
        <w:t>二、参数要求说明：</w:t>
      </w:r>
    </w:p>
    <w:p>
      <w:pPr>
        <w:pStyle w:val="8"/>
        <w:spacing w:line="360" w:lineRule="auto"/>
        <w:jc w:val="both"/>
        <w:rPr>
          <w:rFonts w:ascii="宋体" w:hAnsi="宋体"/>
        </w:rPr>
      </w:pPr>
      <w:r>
        <w:rPr>
          <w:rFonts w:hint="eastAsia" w:ascii="宋体" w:hAnsi="宋体"/>
        </w:rPr>
        <w:t>（1）加注“★”号的技术指标为关键指标，≥1项未达到招标文件要求，按无效投标处理。</w:t>
      </w:r>
    </w:p>
    <w:p>
      <w:pPr>
        <w:pStyle w:val="8"/>
        <w:spacing w:line="360" w:lineRule="auto"/>
        <w:jc w:val="both"/>
        <w:rPr>
          <w:rFonts w:ascii="宋体" w:hAnsi="宋体"/>
        </w:rPr>
      </w:pPr>
      <w:r>
        <w:rPr>
          <w:rFonts w:hint="eastAsia" w:ascii="宋体" w:hAnsi="宋体"/>
        </w:rPr>
        <w:t>（2）加注“▲”号的技术指标为重要指标。</w:t>
      </w:r>
    </w:p>
    <w:p>
      <w:pPr>
        <w:pStyle w:val="8"/>
        <w:spacing w:line="360" w:lineRule="auto"/>
        <w:jc w:val="left"/>
        <w:rPr>
          <w:rFonts w:ascii="宋体" w:hAnsi="宋体"/>
        </w:rPr>
      </w:pPr>
      <w:r>
        <w:rPr>
          <w:rFonts w:hint="eastAsia" w:ascii="宋体" w:hAnsi="宋体"/>
        </w:rPr>
        <w:t>（3）产品验证：对于投标方承诺的符合要求的产品，招标方有权利在签订采购合同前，进行功能测试（所发生的费用由中标人承担），尤其是针对“★”和“▲”项功能进行有效性验证，以确保产品实际质量及性能满足需求。若中标产品未通过测试，将取消中标资格并追究其所有相应责任。</w:t>
      </w:r>
    </w:p>
    <w:p>
      <w:pPr>
        <w:spacing w:beforeLines="50" w:afterLines="50" w:line="360" w:lineRule="auto"/>
        <w:rPr>
          <w:rFonts w:ascii="宋体" w:hAnsi="宋体"/>
          <w:b/>
          <w:bCs/>
        </w:rPr>
      </w:pPr>
      <w:r>
        <w:rPr>
          <w:rFonts w:hint="eastAsia" w:ascii="宋体" w:hAnsi="宋体"/>
          <w:b/>
          <w:bCs/>
        </w:rPr>
        <w:t>三、具体技术要求</w:t>
      </w:r>
    </w:p>
    <w:p>
      <w:pPr>
        <w:spacing w:beforeLines="50" w:afterLines="50" w:line="360" w:lineRule="auto"/>
        <w:rPr>
          <w:rFonts w:ascii="宋体" w:hAnsi="宋体"/>
          <w:b/>
          <w:bCs/>
        </w:rPr>
      </w:pPr>
      <w:r>
        <w:rPr>
          <w:rFonts w:hint="eastAsia" w:ascii="宋体" w:hAnsi="宋体"/>
          <w:b/>
          <w:bCs/>
        </w:rPr>
        <w:t>（一）总体要求</w:t>
      </w:r>
    </w:p>
    <w:p>
      <w:pPr>
        <w:pStyle w:val="44"/>
        <w:numPr>
          <w:ilvl w:val="0"/>
          <w:numId w:val="7"/>
        </w:numPr>
        <w:spacing w:line="360" w:lineRule="auto"/>
        <w:ind w:firstLineChars="0"/>
        <w:rPr>
          <w:rFonts w:ascii="宋体" w:hAnsi="宋体"/>
        </w:rPr>
      </w:pPr>
      <w:r>
        <w:rPr>
          <w:rFonts w:hint="eastAsia" w:ascii="宋体" w:hAnsi="宋体"/>
        </w:rPr>
        <w:t>机房设备运维监控保障管理平台应从使用功能和实际状况出发，满足设计和使用要求，既要做到技术先进、经济实用、维护管理方便，又留有可扩充、可调整的余地，方便以后系统升级工作。</w:t>
      </w:r>
    </w:p>
    <w:p>
      <w:pPr>
        <w:pStyle w:val="44"/>
        <w:numPr>
          <w:ilvl w:val="0"/>
          <w:numId w:val="7"/>
        </w:numPr>
        <w:spacing w:line="360" w:lineRule="auto"/>
        <w:ind w:firstLineChars="0"/>
        <w:rPr>
          <w:rFonts w:ascii="宋体" w:hAnsi="宋体"/>
        </w:rPr>
      </w:pPr>
      <w:r>
        <w:rPr>
          <w:rFonts w:hint="eastAsia" w:ascii="宋体" w:hAnsi="宋体"/>
        </w:rPr>
        <w:t>本次招标的机房设备运维监控保障管理平台，须在本院院内局域网环境下进行部署和实施。所建机房设备运维监控保障管理平台应以招标文件的功能要求为依据进行系统设计和系统的构成与系统配置。</w:t>
      </w:r>
    </w:p>
    <w:p>
      <w:pPr>
        <w:pStyle w:val="44"/>
        <w:numPr>
          <w:ilvl w:val="0"/>
          <w:numId w:val="7"/>
        </w:numPr>
        <w:spacing w:line="360" w:lineRule="auto"/>
        <w:ind w:firstLineChars="0"/>
        <w:rPr>
          <w:rFonts w:ascii="宋体" w:hAnsi="宋体"/>
        </w:rPr>
      </w:pPr>
      <w:r>
        <w:rPr>
          <w:rFonts w:hint="eastAsia" w:ascii="宋体" w:hAnsi="宋体"/>
        </w:rPr>
        <w:t>系统控制、运用软件及操作、显示界面应完全汉化，以便于管理人员操作与使用。</w:t>
      </w:r>
    </w:p>
    <w:p>
      <w:pPr>
        <w:pStyle w:val="44"/>
        <w:numPr>
          <w:ilvl w:val="0"/>
          <w:numId w:val="7"/>
        </w:numPr>
        <w:spacing w:line="360" w:lineRule="auto"/>
        <w:ind w:firstLineChars="0"/>
        <w:rPr>
          <w:rFonts w:ascii="宋体" w:hAnsi="宋体"/>
        </w:rPr>
      </w:pPr>
      <w:r>
        <w:rPr>
          <w:rFonts w:hint="eastAsia" w:ascii="宋体" w:hAnsi="宋体"/>
        </w:rPr>
        <w:t>系统的设计方案、系统构成和系统配置、施工、安装、部署等应符合和满足现行的有关国家规范和标准要求。</w:t>
      </w:r>
    </w:p>
    <w:p>
      <w:pPr>
        <w:pStyle w:val="44"/>
        <w:numPr>
          <w:ilvl w:val="0"/>
          <w:numId w:val="7"/>
        </w:numPr>
        <w:spacing w:line="360" w:lineRule="auto"/>
        <w:ind w:firstLineChars="0"/>
        <w:rPr>
          <w:rFonts w:ascii="宋体" w:hAnsi="宋体"/>
        </w:rPr>
      </w:pPr>
      <w:r>
        <w:rPr>
          <w:rFonts w:hint="eastAsia" w:ascii="宋体" w:hAnsi="宋体"/>
        </w:rPr>
        <w:t>系统应具有集成监控功能，其接口应符合统一的互联标准及技术协议的要求。</w:t>
      </w:r>
    </w:p>
    <w:p>
      <w:pPr>
        <w:pStyle w:val="44"/>
        <w:numPr>
          <w:ilvl w:val="0"/>
          <w:numId w:val="7"/>
        </w:numPr>
        <w:spacing w:line="360" w:lineRule="auto"/>
        <w:ind w:firstLineChars="0"/>
        <w:rPr>
          <w:rFonts w:ascii="宋体" w:hAnsi="宋体"/>
        </w:rPr>
      </w:pPr>
      <w:r>
        <w:rPr>
          <w:rFonts w:hint="eastAsia" w:ascii="宋体" w:hAnsi="宋体"/>
        </w:rPr>
        <w:t>系统应按照以人为本的原则，要求做到安全、稳定、操作简洁。系统应进行精心设计和优化集成满足技术的先进性、系统的扩展性和可靠性等要求，构筑成一个现代化的院级机房设备运维监控保障管理平台。</w:t>
      </w:r>
    </w:p>
    <w:p>
      <w:pPr>
        <w:pStyle w:val="44"/>
        <w:numPr>
          <w:ilvl w:val="0"/>
          <w:numId w:val="7"/>
        </w:numPr>
        <w:spacing w:line="360" w:lineRule="auto"/>
        <w:ind w:firstLineChars="0"/>
        <w:rPr>
          <w:rFonts w:ascii="宋体" w:hAnsi="宋体"/>
        </w:rPr>
      </w:pPr>
      <w:r>
        <w:rPr>
          <w:rFonts w:hint="eastAsia" w:ascii="宋体" w:hAnsi="宋体"/>
        </w:rPr>
        <w:t>机房设备运维监控保障管理平台作为一个完整的运维体系，要从设备、网络、软件到业务的多维度管理，以及监控、报警、巡检、运维、报表、分析、配置、资产、系统等多个模块的有机结合，体现出从运维信息管理到监控大数据分析的全生命周期管理。</w:t>
      </w:r>
    </w:p>
    <w:p>
      <w:pPr>
        <w:spacing w:beforeLines="50" w:afterLines="50" w:line="360" w:lineRule="auto"/>
        <w:rPr>
          <w:rFonts w:ascii="宋体" w:hAnsi="宋体"/>
          <w:b/>
          <w:bCs/>
        </w:rPr>
      </w:pPr>
      <w:r>
        <w:rPr>
          <w:rFonts w:hint="eastAsia" w:ascii="宋体" w:hAnsi="宋体"/>
          <w:b/>
          <w:bCs/>
        </w:rPr>
        <w:t>（二）技术参要求</w:t>
      </w:r>
    </w:p>
    <w:tbl>
      <w:tblPr>
        <w:tblStyle w:val="19"/>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418"/>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68" w:type="dxa"/>
            <w:shd w:val="clear" w:color="auto" w:fill="auto"/>
            <w:vAlign w:val="center"/>
          </w:tcPr>
          <w:p>
            <w:pPr>
              <w:jc w:val="center"/>
              <w:rPr>
                <w:rFonts w:ascii="宋体" w:hAnsi="宋体" w:cs="宋体"/>
                <w:b/>
                <w:bCs/>
                <w:kern w:val="2"/>
                <w:szCs w:val="21"/>
              </w:rPr>
            </w:pPr>
            <w:r>
              <w:rPr>
                <w:rFonts w:hint="eastAsia" w:ascii="宋体" w:hAnsi="宋体" w:cs="宋体"/>
                <w:b/>
                <w:bCs/>
                <w:kern w:val="2"/>
                <w:szCs w:val="21"/>
              </w:rPr>
              <w:t>产品名称</w:t>
            </w:r>
          </w:p>
        </w:tc>
        <w:tc>
          <w:tcPr>
            <w:tcW w:w="1418" w:type="dxa"/>
            <w:shd w:val="clear" w:color="auto" w:fill="auto"/>
            <w:vAlign w:val="center"/>
          </w:tcPr>
          <w:p>
            <w:pPr>
              <w:jc w:val="center"/>
              <w:rPr>
                <w:rFonts w:ascii="宋体" w:hAnsi="宋体" w:cs="宋体"/>
                <w:b/>
                <w:bCs/>
                <w:kern w:val="2"/>
                <w:szCs w:val="21"/>
              </w:rPr>
            </w:pPr>
            <w:r>
              <w:rPr>
                <w:rFonts w:hint="eastAsia" w:ascii="宋体" w:hAnsi="宋体" w:cs="宋体"/>
                <w:b/>
                <w:bCs/>
                <w:kern w:val="2"/>
                <w:szCs w:val="21"/>
              </w:rPr>
              <w:t>模块名称</w:t>
            </w:r>
          </w:p>
        </w:tc>
        <w:tc>
          <w:tcPr>
            <w:tcW w:w="5953" w:type="dxa"/>
            <w:shd w:val="clear" w:color="auto" w:fill="auto"/>
            <w:vAlign w:val="center"/>
          </w:tcPr>
          <w:p>
            <w:pPr>
              <w:jc w:val="center"/>
              <w:rPr>
                <w:rFonts w:ascii="宋体" w:hAnsi="宋体" w:cs="宋体"/>
                <w:b/>
                <w:bCs/>
                <w:kern w:val="2"/>
                <w:szCs w:val="21"/>
              </w:rPr>
            </w:pPr>
            <w:r>
              <w:rPr>
                <w:rFonts w:hint="eastAsia" w:ascii="宋体" w:hAnsi="宋体" w:cs="宋体"/>
                <w:b/>
                <w:bCs/>
                <w:kern w:val="2"/>
                <w:szCs w:val="21"/>
              </w:rPr>
              <w:t>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68" w:type="dxa"/>
            <w:vMerge w:val="restart"/>
            <w:shd w:val="clear" w:color="auto" w:fill="auto"/>
            <w:vAlign w:val="center"/>
          </w:tcPr>
          <w:p>
            <w:pPr>
              <w:jc w:val="center"/>
              <w:rPr>
                <w:rFonts w:ascii="宋体" w:hAnsi="宋体" w:cs="宋体"/>
                <w:b/>
                <w:bCs/>
                <w:kern w:val="2"/>
                <w:szCs w:val="21"/>
              </w:rPr>
            </w:pPr>
            <w:r>
              <w:rPr>
                <w:rFonts w:hint="eastAsia" w:ascii="宋体" w:hAnsi="宋体"/>
                <w:bCs/>
                <w:kern w:val="2"/>
                <w:szCs w:val="21"/>
              </w:rPr>
              <w:t>机房设备运维监控保障管理平台</w:t>
            </w:r>
          </w:p>
          <w:p>
            <w:pPr>
              <w:spacing w:line="360" w:lineRule="auto"/>
              <w:jc w:val="center"/>
              <w:rPr>
                <w:rFonts w:ascii="宋体" w:hAnsi="宋体" w:cs="宋体"/>
                <w:b/>
                <w:bCs/>
                <w:kern w:val="2"/>
                <w:szCs w:val="21"/>
              </w:rPr>
            </w:pPr>
          </w:p>
        </w:tc>
        <w:tc>
          <w:tcPr>
            <w:tcW w:w="1418" w:type="dxa"/>
            <w:shd w:val="clear" w:color="auto" w:fill="auto"/>
            <w:vAlign w:val="center"/>
          </w:tcPr>
          <w:p>
            <w:pPr>
              <w:spacing w:line="360" w:lineRule="auto"/>
              <w:jc w:val="center"/>
              <w:rPr>
                <w:rFonts w:ascii="宋体" w:hAnsi="宋体" w:cs="宋体"/>
                <w:b/>
                <w:bCs/>
                <w:kern w:val="2"/>
                <w:szCs w:val="21"/>
              </w:rPr>
            </w:pPr>
            <w:r>
              <w:rPr>
                <w:rFonts w:hint="eastAsia" w:ascii="宋体" w:hAnsi="宋体" w:cs="宋体"/>
                <w:b/>
                <w:bCs/>
                <w:kern w:val="2"/>
                <w:szCs w:val="21"/>
              </w:rPr>
              <w:t>总体监控</w:t>
            </w:r>
          </w:p>
          <w:p>
            <w:pPr>
              <w:spacing w:line="360" w:lineRule="auto"/>
              <w:jc w:val="center"/>
              <w:rPr>
                <w:rFonts w:ascii="宋体" w:hAnsi="宋体" w:cs="宋体"/>
                <w:b/>
                <w:bCs/>
                <w:kern w:val="2"/>
                <w:szCs w:val="21"/>
              </w:rPr>
            </w:pPr>
            <w:r>
              <w:rPr>
                <w:rFonts w:hint="eastAsia" w:ascii="宋体" w:hAnsi="宋体" w:cs="宋体"/>
                <w:b/>
                <w:bCs/>
                <w:kern w:val="2"/>
                <w:szCs w:val="21"/>
              </w:rPr>
              <w:t>要求</w:t>
            </w:r>
          </w:p>
        </w:tc>
        <w:tc>
          <w:tcPr>
            <w:tcW w:w="5953" w:type="dxa"/>
            <w:shd w:val="clear" w:color="auto" w:fill="auto"/>
            <w:vAlign w:val="center"/>
          </w:tcPr>
          <w:p>
            <w:pPr>
              <w:widowControl/>
              <w:spacing w:line="360" w:lineRule="auto"/>
              <w:jc w:val="left"/>
              <w:rPr>
                <w:rFonts w:ascii="宋体" w:hAnsi="宋体" w:cs="宋体"/>
                <w:kern w:val="2"/>
                <w:szCs w:val="21"/>
              </w:rPr>
            </w:pPr>
            <w:r>
              <w:rPr>
                <w:rFonts w:hint="eastAsia" w:ascii="宋体" w:hAnsi="宋体" w:cs="宋体"/>
                <w:kern w:val="2"/>
                <w:szCs w:val="21"/>
              </w:rPr>
              <w:t>★ 1、要求平台运行于 Linux 操作系统之上，保证平台稳定性和安全性。同时要求 平台数据库基于开源数据库，用户无需再另行购买数据库授权。（要求提供加盖原厂商公章的确认信证明材料）</w:t>
            </w:r>
          </w:p>
          <w:p>
            <w:pPr>
              <w:spacing w:line="360" w:lineRule="auto"/>
              <w:jc w:val="left"/>
              <w:rPr>
                <w:rFonts w:ascii="宋体" w:hAnsi="宋体" w:cs="宋体"/>
                <w:kern w:val="2"/>
                <w:szCs w:val="21"/>
              </w:rPr>
            </w:pPr>
            <w:r>
              <w:rPr>
                <w:rFonts w:hint="eastAsia" w:ascii="宋体" w:hAnsi="宋体" w:cs="宋体"/>
                <w:kern w:val="2"/>
                <w:szCs w:val="21"/>
              </w:rPr>
              <w:t>▲1、要求平台支持全文检索功能，可对报警信息、配置信息、日志信息等按内容建立全文索引，支持按关键字查找相关内容。提供综合展示界面，检索全部信息</w:t>
            </w:r>
            <w:r>
              <w:rPr>
                <w:rFonts w:ascii="宋体" w:hAnsi="宋体" w:cs="宋体"/>
                <w:kern w:val="2"/>
                <w:szCs w:val="21"/>
              </w:rPr>
              <w:t>,可综合系统信息，软件信息，报警信息，笔记信息，日志信息等进行关键词综合搜索，帮助用户进行信息定位。</w:t>
            </w:r>
            <w:r>
              <w:rPr>
                <w:rFonts w:hint="eastAsia" w:ascii="宋体" w:hAnsi="宋体" w:cs="宋体"/>
                <w:kern w:val="2"/>
                <w:szCs w:val="21"/>
              </w:rPr>
              <w:t>(要求提供截图等相关证明材料)</w:t>
            </w:r>
          </w:p>
          <w:p>
            <w:pPr>
              <w:spacing w:line="360" w:lineRule="auto"/>
              <w:jc w:val="left"/>
              <w:rPr>
                <w:rFonts w:ascii="宋体" w:hAnsi="宋体" w:cs="宋体"/>
                <w:kern w:val="2"/>
                <w:szCs w:val="21"/>
              </w:rPr>
            </w:pPr>
            <w:bookmarkStart w:id="0" w:name="_Hlk107571731"/>
            <w:r>
              <w:rPr>
                <w:rFonts w:hint="eastAsia" w:ascii="宋体" w:hAnsi="宋体" w:cs="宋体"/>
                <w:kern w:val="2"/>
                <w:szCs w:val="21"/>
              </w:rPr>
              <w:t>▲2、</w:t>
            </w:r>
            <w:bookmarkEnd w:id="0"/>
            <w:r>
              <w:rPr>
                <w:rFonts w:hint="eastAsia" w:ascii="宋体" w:hAnsi="宋体" w:cs="宋体"/>
                <w:kern w:val="2"/>
                <w:szCs w:val="21"/>
              </w:rPr>
              <w:t>要求平台支持对</w:t>
            </w:r>
            <w:r>
              <w:rPr>
                <w:rFonts w:ascii="宋体" w:hAnsi="宋体" w:cs="宋体"/>
                <w:kern w:val="2"/>
                <w:szCs w:val="21"/>
              </w:rPr>
              <w:t>CPU、内存使用率的超过或低于设定的基线范围时，自动触发报警，以及对磁盘使用率、Oracle表空间出现异常增速时，自动触发报警。同时，要求平台具备资源使用回溯功能，对于CPU、内存资源使用率超过报警阈值时，平台可展示该时间节点Top10进程资源（CPU或内存）占用信息。</w:t>
            </w:r>
            <w:r>
              <w:rPr>
                <w:rFonts w:hint="eastAsia" w:ascii="宋体" w:hAnsi="宋体" w:cs="宋体"/>
                <w:kern w:val="2"/>
                <w:szCs w:val="21"/>
              </w:rPr>
              <w:t>(要求提供截图等相关证明材料)</w:t>
            </w:r>
          </w:p>
          <w:p>
            <w:pPr>
              <w:spacing w:line="360" w:lineRule="auto"/>
              <w:jc w:val="left"/>
              <w:rPr>
                <w:rFonts w:ascii="宋体" w:hAnsi="宋体" w:cs="宋体"/>
                <w:kern w:val="2"/>
                <w:szCs w:val="21"/>
              </w:rPr>
            </w:pPr>
            <w:r>
              <w:rPr>
                <w:rFonts w:hint="eastAsia" w:ascii="宋体" w:hAnsi="宋体" w:cs="宋体"/>
                <w:kern w:val="2"/>
                <w:szCs w:val="21"/>
              </w:rPr>
              <w:t>3、要求平台支持网格化巡检的巡检汇总，可展示每个人的巡检情况，每个人近一段时间已完成、未完成、延迟巡检统计信息。</w:t>
            </w:r>
          </w:p>
          <w:p>
            <w:pPr>
              <w:pStyle w:val="17"/>
              <w:spacing w:beforeAutospacing="0" w:after="240" w:afterAutospacing="0" w:line="360" w:lineRule="auto"/>
              <w:rPr>
                <w:rFonts w:ascii="Calibri" w:hAnsi="Calibri"/>
                <w:kern w:val="2"/>
                <w:sz w:val="21"/>
                <w:szCs w:val="21"/>
              </w:rPr>
            </w:pPr>
            <w:r>
              <w:rPr>
                <w:rFonts w:hint="eastAsia" w:ascii="Calibri" w:hAnsi="Calibri"/>
                <w:kern w:val="2"/>
                <w:sz w:val="21"/>
                <w:szCs w:val="21"/>
              </w:rPr>
              <w:t>4、要求平台支持对超时跟进的报警/提醒信息的列表统计；用于查看超时跟进的报警/提醒，同时，要求可自定义设置超时设置超时跟进时间；要求平台支持对超时恢复信息的列表统计，用于查看超时恢复的报警/提醒，同时，要求可自定义设置超时恢复设置超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vMerge w:val="continue"/>
            <w:shd w:val="clear" w:color="auto" w:fill="auto"/>
            <w:vAlign w:val="center"/>
          </w:tcPr>
          <w:p>
            <w:pPr>
              <w:spacing w:line="360" w:lineRule="auto"/>
              <w:rPr>
                <w:rFonts w:ascii="宋体" w:hAnsi="宋体" w:cs="宋体"/>
                <w:kern w:val="2"/>
                <w:szCs w:val="21"/>
              </w:rPr>
            </w:pPr>
          </w:p>
        </w:tc>
        <w:tc>
          <w:tcPr>
            <w:tcW w:w="1418" w:type="dxa"/>
            <w:shd w:val="clear" w:color="auto" w:fill="auto"/>
            <w:vAlign w:val="center"/>
          </w:tcPr>
          <w:p>
            <w:pPr>
              <w:spacing w:line="360" w:lineRule="auto"/>
              <w:rPr>
                <w:rFonts w:ascii="宋体" w:hAnsi="宋体" w:cs="宋体"/>
                <w:bCs/>
                <w:kern w:val="2"/>
                <w:szCs w:val="21"/>
              </w:rPr>
            </w:pPr>
            <w:r>
              <w:rPr>
                <w:rFonts w:hint="eastAsia" w:ascii="宋体" w:hAnsi="宋体" w:cs="宋体"/>
                <w:bCs/>
                <w:kern w:val="2"/>
                <w:szCs w:val="21"/>
              </w:rPr>
              <w:t>网络监控</w:t>
            </w:r>
          </w:p>
        </w:tc>
        <w:tc>
          <w:tcPr>
            <w:tcW w:w="5953" w:type="dxa"/>
            <w:shd w:val="clear" w:color="auto" w:fill="auto"/>
          </w:tcPr>
          <w:p>
            <w:pPr>
              <w:spacing w:line="360" w:lineRule="auto"/>
              <w:jc w:val="left"/>
              <w:rPr>
                <w:rFonts w:ascii="宋体" w:hAnsi="宋体" w:cs="宋体"/>
                <w:kern w:val="2"/>
                <w:szCs w:val="21"/>
              </w:rPr>
            </w:pPr>
            <w:r>
              <w:rPr>
                <w:rFonts w:hint="eastAsia" w:ascii="宋体" w:hAnsi="宋体" w:cs="宋体"/>
                <w:kern w:val="2"/>
                <w:szCs w:val="21"/>
              </w:rPr>
              <w:t>1、支持SNMP V1/V2/V3版本的兼容。支持对核心、汇聚、接入层交换机的网络拓扑（包含子拓扑）的自动发现、自动生成拓扑图功能，及端口流量、链路聚合、设备堆叠、网络设备硬件级及系统级的监控功能、以及网络设备配置信息的自动备份、版本比对功能。提供对不同机房的机房拓扑图的编辑和展示功能、以及导出功能，同时，机房拓扑图提供动画展示效果。</w:t>
            </w:r>
          </w:p>
          <w:p>
            <w:pPr>
              <w:spacing w:line="360" w:lineRule="auto"/>
              <w:jc w:val="left"/>
              <w:rPr>
                <w:rFonts w:ascii="宋体" w:hAnsi="宋体" w:cs="宋体"/>
                <w:kern w:val="2"/>
                <w:szCs w:val="21"/>
              </w:rPr>
            </w:pPr>
            <w:r>
              <w:rPr>
                <w:rFonts w:hint="eastAsia" w:ascii="宋体" w:hAnsi="宋体" w:cs="宋体"/>
                <w:kern w:val="2"/>
                <w:szCs w:val="21"/>
              </w:rPr>
              <w:t>2、支持对各交换机端口流量查看功能，支持数据下钻功能查看每个设备和链路的详细信息。同时提供对链路聚合的各条链路的状态及流量进行监控及报警。支持查询和导出交换机网口流量报表。</w:t>
            </w:r>
          </w:p>
          <w:p>
            <w:pPr>
              <w:spacing w:line="360" w:lineRule="auto"/>
              <w:rPr>
                <w:rFonts w:ascii="宋体" w:hAnsi="宋体" w:cs="宋体"/>
                <w:kern w:val="2"/>
                <w:szCs w:val="21"/>
              </w:rPr>
            </w:pPr>
            <w:r>
              <w:rPr>
                <w:rFonts w:hint="eastAsia" w:ascii="宋体" w:hAnsi="宋体" w:cs="宋体"/>
                <w:kern w:val="2"/>
                <w:szCs w:val="21"/>
              </w:rPr>
              <w:t>3、提供交换机硬件电源、风扇状态的监控及设备CPU、内存使用率的监控。支持对交换机堆叠口的状态进行监控，当堆叠口DOWN掉时报警。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vMerge w:val="continue"/>
            <w:shd w:val="clear" w:color="auto" w:fill="auto"/>
            <w:vAlign w:val="center"/>
          </w:tcPr>
          <w:p>
            <w:pPr>
              <w:spacing w:line="360" w:lineRule="auto"/>
              <w:jc w:val="center"/>
              <w:rPr>
                <w:rFonts w:ascii="宋体" w:hAnsi="宋体" w:cs="宋体"/>
                <w:kern w:val="2"/>
                <w:szCs w:val="21"/>
              </w:rPr>
            </w:pPr>
          </w:p>
        </w:tc>
        <w:tc>
          <w:tcPr>
            <w:tcW w:w="1418" w:type="dxa"/>
            <w:shd w:val="clear" w:color="auto" w:fill="auto"/>
            <w:vAlign w:val="center"/>
          </w:tcPr>
          <w:p>
            <w:pPr>
              <w:spacing w:line="360" w:lineRule="auto"/>
              <w:jc w:val="center"/>
              <w:rPr>
                <w:rFonts w:ascii="宋体" w:hAnsi="宋体" w:cs="宋体"/>
                <w:bCs/>
                <w:kern w:val="2"/>
                <w:szCs w:val="21"/>
              </w:rPr>
            </w:pPr>
            <w:r>
              <w:rPr>
                <w:rFonts w:hint="eastAsia" w:ascii="宋体" w:hAnsi="宋体" w:cs="宋体"/>
                <w:bCs/>
                <w:kern w:val="2"/>
                <w:szCs w:val="21"/>
              </w:rPr>
              <w:t>设备监控</w:t>
            </w:r>
          </w:p>
        </w:tc>
        <w:tc>
          <w:tcPr>
            <w:tcW w:w="5953" w:type="dxa"/>
            <w:shd w:val="clear" w:color="auto" w:fill="auto"/>
          </w:tcPr>
          <w:p>
            <w:pPr>
              <w:spacing w:line="360" w:lineRule="auto"/>
              <w:jc w:val="left"/>
              <w:rPr>
                <w:rFonts w:ascii="宋体" w:hAnsi="宋体" w:cs="宋体"/>
                <w:kern w:val="2"/>
                <w:szCs w:val="21"/>
              </w:rPr>
            </w:pPr>
            <w:r>
              <w:rPr>
                <w:rFonts w:hint="eastAsia" w:ascii="宋体" w:hAnsi="宋体" w:cs="宋体"/>
                <w:kern w:val="2"/>
                <w:szCs w:val="21"/>
              </w:rPr>
              <w:t>▲1、提供适配业界常见的物理服务器、存储的带外管理口（即IPMI）的监控，以实现对物理服务器、存储设备的硬件状态监控，包括：电源、风扇、磁盘、内存、处理器、温度、全局健康等指标项的统一监控，出现异常时自动报警。</w:t>
            </w:r>
            <w:r>
              <w:rPr>
                <w:rFonts w:ascii="宋体" w:hAnsi="宋体" w:cs="宋体"/>
                <w:kern w:val="2"/>
                <w:szCs w:val="21"/>
              </w:rPr>
              <w:t>。</w:t>
            </w:r>
            <w:r>
              <w:rPr>
                <w:rFonts w:hint="eastAsia" w:ascii="宋体" w:hAnsi="宋体" w:cs="宋体"/>
                <w:kern w:val="2"/>
                <w:szCs w:val="21"/>
              </w:rPr>
              <w:t>(要求提供截图等相关证明材料)</w:t>
            </w:r>
          </w:p>
          <w:p>
            <w:pPr>
              <w:spacing w:line="360" w:lineRule="auto"/>
              <w:jc w:val="left"/>
              <w:rPr>
                <w:rFonts w:ascii="宋体" w:hAnsi="宋体" w:cs="宋体"/>
                <w:kern w:val="2"/>
                <w:szCs w:val="21"/>
              </w:rPr>
            </w:pPr>
            <w:r>
              <w:rPr>
                <w:rFonts w:hint="eastAsia" w:ascii="宋体" w:hAnsi="宋体" w:cs="宋体"/>
                <w:kern w:val="2"/>
                <w:szCs w:val="21"/>
              </w:rPr>
              <w:t>2、支持对跨平台操作系统连通性、系统重启时间、系统开机连续运行时长、CPU、内存、硬盘使用率、系统服务、进程、端口、补丁、开机启动程序、防火墙等的监控，支持报警功能。</w:t>
            </w:r>
          </w:p>
          <w:p>
            <w:pPr>
              <w:spacing w:line="360" w:lineRule="auto"/>
              <w:rPr>
                <w:rFonts w:ascii="宋体" w:hAnsi="宋体" w:cs="宋体"/>
                <w:kern w:val="2"/>
                <w:szCs w:val="21"/>
              </w:rPr>
            </w:pPr>
            <w:r>
              <w:rPr>
                <w:rFonts w:hint="eastAsia" w:ascii="宋体" w:hAnsi="宋体" w:cs="宋体"/>
                <w:kern w:val="2"/>
                <w:szCs w:val="21"/>
              </w:rPr>
              <w:t>3、支持读取服务器的网口状态、速率、以及流量的监控，支持数据下钻功能。支持对跨平台操作系统错误日志的监控。</w:t>
            </w:r>
          </w:p>
          <w:p>
            <w:pPr>
              <w:spacing w:line="360" w:lineRule="auto"/>
              <w:rPr>
                <w:rFonts w:ascii="宋体" w:hAnsi="宋体" w:cs="宋体"/>
                <w:kern w:val="2"/>
                <w:szCs w:val="21"/>
              </w:rPr>
            </w:pPr>
            <w:r>
              <w:rPr>
                <w:rFonts w:hint="eastAsia" w:ascii="宋体" w:hAnsi="宋体" w:cs="宋体"/>
                <w:kern w:val="2"/>
                <w:szCs w:val="21"/>
              </w:rPr>
              <w:t>4、支持读取服务器CPU配置、内存、硬盘的配置信息。</w:t>
            </w:r>
          </w:p>
          <w:p>
            <w:pPr>
              <w:spacing w:line="360" w:lineRule="auto"/>
              <w:rPr>
                <w:rFonts w:ascii="宋体" w:hAnsi="宋体" w:cs="宋体"/>
                <w:kern w:val="2"/>
                <w:szCs w:val="21"/>
              </w:rPr>
            </w:pPr>
            <w:r>
              <w:rPr>
                <w:rFonts w:hint="eastAsia" w:ascii="宋体" w:hAnsi="宋体" w:cs="宋体"/>
                <w:kern w:val="2"/>
                <w:szCs w:val="21"/>
              </w:rPr>
              <w:t>5、</w:t>
            </w:r>
            <w:r>
              <w:rPr>
                <w:rFonts w:ascii="宋体" w:hAnsi="宋体" w:cs="宋体"/>
                <w:kern w:val="2"/>
                <w:szCs w:val="21"/>
              </w:rPr>
              <w:t>要求平台具备资源使用回溯功能，对于</w:t>
            </w:r>
            <w:r>
              <w:rPr>
                <w:rFonts w:hint="eastAsia" w:ascii="宋体" w:hAnsi="宋体" w:cs="宋体"/>
                <w:kern w:val="2"/>
                <w:szCs w:val="21"/>
              </w:rPr>
              <w:t>设备</w:t>
            </w:r>
            <w:r>
              <w:rPr>
                <w:rFonts w:ascii="宋体" w:hAnsi="宋体" w:cs="宋体"/>
                <w:kern w:val="2"/>
                <w:szCs w:val="21"/>
              </w:rPr>
              <w:t>CPU、内存资源使用率超过95%时，平台可展示该时点前十位进程资源（CPU或内存）占用信息。</w:t>
            </w:r>
          </w:p>
          <w:p>
            <w:pPr>
              <w:spacing w:line="360" w:lineRule="auto"/>
              <w:rPr>
                <w:rFonts w:ascii="宋体" w:hAnsi="宋体" w:cs="宋体"/>
                <w:kern w:val="2"/>
                <w:szCs w:val="21"/>
              </w:rPr>
            </w:pPr>
            <w:r>
              <w:rPr>
                <w:rFonts w:hint="eastAsia" w:ascii="宋体" w:hAnsi="宋体" w:cs="宋体"/>
                <w:kern w:val="2"/>
                <w:szCs w:val="21"/>
              </w:rPr>
              <w:t>6、要求平台提供内存使用结构。可展示分为已用内存，剩余内，共享内存和数据缓存；提供磁盘逻辑结构。展示物理磁盘如何进行逻辑划分，包括卷、分区的关系。展示磁盘吞吐量（每秒钟磁盘读写的数据量）与磁盘IOPS</w:t>
            </w:r>
            <w:r>
              <w:rPr>
                <w:rFonts w:ascii="宋体" w:hAnsi="宋体" w:cs="宋体"/>
                <w:kern w:val="2"/>
                <w:szCs w:val="21"/>
              </w:rPr>
              <w:t>(</w:t>
            </w:r>
            <w:r>
              <w:rPr>
                <w:rFonts w:hint="eastAsia" w:ascii="宋体" w:hAnsi="宋体" w:cs="宋体"/>
                <w:kern w:val="2"/>
                <w:szCs w:val="21"/>
              </w:rPr>
              <w:t>磁盘每秒钟读写次数)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vMerge w:val="continue"/>
            <w:shd w:val="clear" w:color="auto" w:fill="auto"/>
            <w:vAlign w:val="center"/>
          </w:tcPr>
          <w:p>
            <w:pPr>
              <w:spacing w:line="360" w:lineRule="auto"/>
              <w:jc w:val="center"/>
              <w:rPr>
                <w:rFonts w:ascii="宋体" w:hAnsi="宋体" w:cs="宋体"/>
                <w:kern w:val="2"/>
                <w:szCs w:val="21"/>
              </w:rPr>
            </w:pPr>
          </w:p>
        </w:tc>
        <w:tc>
          <w:tcPr>
            <w:tcW w:w="1418" w:type="dxa"/>
            <w:shd w:val="clear" w:color="auto" w:fill="auto"/>
            <w:vAlign w:val="center"/>
          </w:tcPr>
          <w:p>
            <w:pPr>
              <w:rPr>
                <w:rFonts w:ascii="宋体" w:hAnsi="宋体"/>
                <w:kern w:val="2"/>
                <w:szCs w:val="21"/>
              </w:rPr>
            </w:pPr>
            <w:r>
              <w:rPr>
                <w:rFonts w:hint="eastAsia" w:ascii="宋体" w:hAnsi="宋体"/>
                <w:kern w:val="2"/>
                <w:szCs w:val="21"/>
              </w:rPr>
              <w:t>智能巡检</w:t>
            </w:r>
          </w:p>
        </w:tc>
        <w:tc>
          <w:tcPr>
            <w:tcW w:w="5953" w:type="dxa"/>
            <w:shd w:val="clear" w:color="auto" w:fill="auto"/>
          </w:tcPr>
          <w:p>
            <w:pPr>
              <w:spacing w:line="360" w:lineRule="auto"/>
              <w:rPr>
                <w:rFonts w:ascii="宋体" w:hAnsi="宋体" w:cs="宋体"/>
                <w:kern w:val="2"/>
                <w:szCs w:val="21"/>
              </w:rPr>
            </w:pPr>
            <w:r>
              <w:rPr>
                <w:rFonts w:hint="eastAsia" w:ascii="宋体" w:hAnsi="宋体" w:cs="宋体"/>
                <w:kern w:val="2"/>
                <w:szCs w:val="21"/>
              </w:rPr>
              <w:t>1、要求平台支持业务巡检功能，可实现对业务系统关联软硬件资源进行巡检，并导出巡检报告。</w:t>
            </w:r>
          </w:p>
          <w:p>
            <w:pPr>
              <w:spacing w:line="360" w:lineRule="auto"/>
              <w:rPr>
                <w:rFonts w:ascii="宋体" w:hAnsi="宋体" w:cs="宋体"/>
                <w:kern w:val="2"/>
                <w:szCs w:val="21"/>
              </w:rPr>
            </w:pPr>
            <w:r>
              <w:rPr>
                <w:rFonts w:hint="eastAsia" w:ascii="宋体" w:hAnsi="宋体" w:cs="宋体"/>
                <w:kern w:val="2"/>
                <w:szCs w:val="21"/>
              </w:rPr>
              <w:t>2、要求平台支持网络巡检功能，可实现对全网网络设备进行巡检，可巡检设备物理位置、连通性、C</w:t>
            </w:r>
            <w:r>
              <w:rPr>
                <w:rFonts w:ascii="宋体" w:hAnsi="宋体" w:cs="宋体"/>
                <w:kern w:val="2"/>
                <w:szCs w:val="21"/>
              </w:rPr>
              <w:t>PU</w:t>
            </w:r>
            <w:r>
              <w:rPr>
                <w:rFonts w:hint="eastAsia" w:ascii="宋体" w:hAnsi="宋体" w:cs="宋体"/>
                <w:kern w:val="2"/>
                <w:szCs w:val="21"/>
              </w:rPr>
              <w:t>、内存、电源、风扇、堆叠等信息，并可导出巡检报告。</w:t>
            </w:r>
          </w:p>
          <w:p>
            <w:pPr>
              <w:spacing w:line="360" w:lineRule="auto"/>
              <w:rPr>
                <w:rFonts w:ascii="宋体" w:hAnsi="宋体" w:cs="宋体"/>
                <w:kern w:val="2"/>
                <w:szCs w:val="21"/>
              </w:rPr>
            </w:pPr>
            <w:r>
              <w:rPr>
                <w:rFonts w:hint="eastAsia" w:ascii="宋体" w:hAnsi="宋体" w:cs="宋体"/>
                <w:kern w:val="2"/>
                <w:szCs w:val="21"/>
              </w:rPr>
              <w:t>3、要求平台支持设备巡检功能，可实现对设备品牌型号、连通性、处理器、内存、硬盘、温度、风扇、电源等信息的巡检，并可导出巡检报告。</w:t>
            </w:r>
          </w:p>
          <w:p>
            <w:pPr>
              <w:spacing w:line="360" w:lineRule="auto"/>
              <w:rPr>
                <w:rFonts w:ascii="宋体" w:hAnsi="宋体"/>
                <w:kern w:val="2"/>
                <w:szCs w:val="21"/>
              </w:rPr>
            </w:pPr>
            <w:r>
              <w:rPr>
                <w:rFonts w:hint="eastAsia" w:ascii="宋体" w:hAnsi="宋体" w:cs="宋体"/>
                <w:kern w:val="2"/>
                <w:szCs w:val="21"/>
              </w:rPr>
              <w:t>4、要求平台支持Oracle数据库的巡检功能，可实现对数据库实例、件谈、表空间、会话、进程、R</w:t>
            </w:r>
            <w:r>
              <w:rPr>
                <w:rFonts w:ascii="宋体" w:hAnsi="宋体" w:cs="宋体"/>
                <w:kern w:val="2"/>
                <w:szCs w:val="21"/>
              </w:rPr>
              <w:t>MAN</w:t>
            </w:r>
            <w:r>
              <w:rPr>
                <w:rFonts w:hint="eastAsia" w:ascii="宋体" w:hAnsi="宋体" w:cs="宋体"/>
                <w:kern w:val="2"/>
                <w:szCs w:val="21"/>
              </w:rPr>
              <w:t>备份、阻塞缩表等信息的巡检，并可导出巡检报告。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vMerge w:val="continue"/>
            <w:shd w:val="clear" w:color="auto" w:fill="auto"/>
            <w:vAlign w:val="center"/>
          </w:tcPr>
          <w:p>
            <w:pPr>
              <w:spacing w:line="360" w:lineRule="auto"/>
              <w:jc w:val="center"/>
              <w:rPr>
                <w:rFonts w:ascii="宋体" w:hAnsi="宋体" w:cs="宋体"/>
                <w:kern w:val="2"/>
                <w:szCs w:val="21"/>
              </w:rPr>
            </w:pPr>
          </w:p>
        </w:tc>
        <w:tc>
          <w:tcPr>
            <w:tcW w:w="1418" w:type="dxa"/>
            <w:shd w:val="clear" w:color="auto" w:fill="auto"/>
            <w:vAlign w:val="center"/>
          </w:tcPr>
          <w:p>
            <w:pPr>
              <w:spacing w:line="360" w:lineRule="auto"/>
              <w:jc w:val="center"/>
              <w:rPr>
                <w:rFonts w:ascii="宋体" w:hAnsi="宋体" w:cs="宋体"/>
                <w:bCs/>
                <w:kern w:val="2"/>
                <w:szCs w:val="21"/>
              </w:rPr>
            </w:pPr>
            <w:r>
              <w:rPr>
                <w:rFonts w:hint="eastAsia" w:ascii="宋体" w:hAnsi="宋体" w:cs="宋体"/>
                <w:bCs/>
                <w:kern w:val="2"/>
                <w:szCs w:val="21"/>
              </w:rPr>
              <w:t>便捷运维</w:t>
            </w:r>
          </w:p>
        </w:tc>
        <w:tc>
          <w:tcPr>
            <w:tcW w:w="5953" w:type="dxa"/>
            <w:shd w:val="clear" w:color="auto" w:fill="auto"/>
          </w:tcPr>
          <w:p>
            <w:pPr>
              <w:spacing w:line="360" w:lineRule="auto"/>
              <w:rPr>
                <w:rFonts w:ascii="宋体" w:hAnsi="宋体"/>
                <w:kern w:val="2"/>
                <w:szCs w:val="21"/>
              </w:rPr>
            </w:pPr>
            <w:r>
              <w:rPr>
                <w:rFonts w:hint="eastAsia" w:ascii="宋体" w:hAnsi="宋体"/>
                <w:kern w:val="2"/>
                <w:szCs w:val="21"/>
              </w:rPr>
              <w:t>1、要求平台支持应急预案的管理功能，可上传应急预案相关文档，可下载导出。</w:t>
            </w:r>
          </w:p>
          <w:p>
            <w:pPr>
              <w:spacing w:line="360" w:lineRule="auto"/>
              <w:rPr>
                <w:rFonts w:ascii="宋体" w:hAnsi="宋体"/>
                <w:kern w:val="2"/>
                <w:szCs w:val="21"/>
              </w:rPr>
            </w:pPr>
            <w:r>
              <w:rPr>
                <w:rFonts w:hint="eastAsia" w:ascii="宋体" w:hAnsi="宋体"/>
                <w:kern w:val="2"/>
                <w:szCs w:val="21"/>
              </w:rPr>
              <w:t>▲2、要求平台支持运维查询功能，支持基于平台查询操作系统版本、支持端口查询、服务查询、进程查询、补丁查询、杀毒软件版本查询、防火墙开启状态查询、交换机配置信息查询。（要求提供截图等相关证明材料)</w:t>
            </w:r>
          </w:p>
          <w:p>
            <w:pPr>
              <w:spacing w:line="360" w:lineRule="auto"/>
              <w:rPr>
                <w:rFonts w:ascii="宋体" w:hAnsi="宋体"/>
                <w:kern w:val="2"/>
                <w:szCs w:val="21"/>
              </w:rPr>
            </w:pPr>
            <w:r>
              <w:rPr>
                <w:rFonts w:hint="eastAsia" w:ascii="宋体" w:hAnsi="宋体"/>
                <w:kern w:val="2"/>
                <w:szCs w:val="21"/>
              </w:rPr>
              <w:t>3、要求平台支持运维笔记管理功能，可统计笔记信息，并支持运维笔记导出。</w:t>
            </w:r>
          </w:p>
          <w:p>
            <w:pPr>
              <w:spacing w:line="360" w:lineRule="auto"/>
              <w:rPr>
                <w:rFonts w:ascii="宋体" w:hAnsi="宋体"/>
                <w:kern w:val="2"/>
                <w:szCs w:val="21"/>
              </w:rPr>
            </w:pPr>
            <w:r>
              <w:rPr>
                <w:rFonts w:hint="eastAsia" w:ascii="宋体" w:hAnsi="宋体"/>
                <w:kern w:val="2"/>
                <w:szCs w:val="21"/>
              </w:rPr>
              <w:t>4、要求平台支持文档管理功能，可基于运维需求管理各类文档，支持下载导出。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vMerge w:val="continue"/>
            <w:shd w:val="clear" w:color="auto" w:fill="auto"/>
            <w:vAlign w:val="center"/>
          </w:tcPr>
          <w:p>
            <w:pPr>
              <w:spacing w:line="360" w:lineRule="auto"/>
              <w:jc w:val="center"/>
              <w:rPr>
                <w:rFonts w:ascii="宋体" w:hAnsi="宋体" w:cs="宋体"/>
                <w:kern w:val="2"/>
                <w:szCs w:val="21"/>
              </w:rPr>
            </w:pPr>
          </w:p>
        </w:tc>
        <w:tc>
          <w:tcPr>
            <w:tcW w:w="1418" w:type="dxa"/>
            <w:shd w:val="clear" w:color="auto" w:fill="auto"/>
            <w:vAlign w:val="center"/>
          </w:tcPr>
          <w:p>
            <w:pPr>
              <w:spacing w:line="360" w:lineRule="auto"/>
              <w:jc w:val="center"/>
              <w:rPr>
                <w:rFonts w:ascii="宋体" w:hAnsi="宋体" w:cs="宋体"/>
                <w:bCs/>
                <w:kern w:val="2"/>
                <w:szCs w:val="21"/>
              </w:rPr>
            </w:pPr>
            <w:r>
              <w:rPr>
                <w:rFonts w:hint="eastAsia" w:ascii="宋体" w:hAnsi="宋体" w:cs="宋体"/>
                <w:bCs/>
                <w:kern w:val="2"/>
                <w:szCs w:val="21"/>
              </w:rPr>
              <w:t>报警统计</w:t>
            </w:r>
          </w:p>
        </w:tc>
        <w:tc>
          <w:tcPr>
            <w:tcW w:w="5953" w:type="dxa"/>
            <w:shd w:val="clear" w:color="auto" w:fill="auto"/>
          </w:tcPr>
          <w:p>
            <w:pPr>
              <w:spacing w:line="360" w:lineRule="auto"/>
              <w:rPr>
                <w:rFonts w:ascii="宋体" w:hAnsi="宋体"/>
                <w:kern w:val="2"/>
                <w:szCs w:val="21"/>
              </w:rPr>
            </w:pPr>
            <w:r>
              <w:rPr>
                <w:rFonts w:hint="eastAsia" w:ascii="宋体" w:hAnsi="宋体"/>
                <w:kern w:val="2"/>
                <w:szCs w:val="21"/>
              </w:rPr>
              <w:t>1、要求平台提供当前报警统计功能，展示报警详情。可根据报警类型、报警级别、设备类型、时间进行报警信息的统计，并可直接跟进处理。</w:t>
            </w:r>
          </w:p>
          <w:p>
            <w:pPr>
              <w:spacing w:line="360" w:lineRule="auto"/>
              <w:rPr>
                <w:rFonts w:ascii="宋体" w:hAnsi="宋体"/>
                <w:kern w:val="2"/>
                <w:szCs w:val="21"/>
              </w:rPr>
            </w:pPr>
            <w:r>
              <w:rPr>
                <w:rFonts w:hint="eastAsia" w:ascii="宋体" w:hAnsi="宋体"/>
                <w:kern w:val="2"/>
                <w:szCs w:val="21"/>
              </w:rPr>
              <w:t>2、要求平台提供历史报警信息的统计功能，可基于报警类型、时间段进行统计，并可导出统计结果。</w:t>
            </w:r>
          </w:p>
          <w:p>
            <w:pPr>
              <w:spacing w:line="360" w:lineRule="auto"/>
              <w:rPr>
                <w:rFonts w:ascii="宋体" w:hAnsi="宋体"/>
                <w:kern w:val="2"/>
                <w:szCs w:val="21"/>
              </w:rPr>
            </w:pPr>
            <w:r>
              <w:rPr>
                <w:rFonts w:hint="eastAsia" w:ascii="宋体" w:hAnsi="宋体"/>
                <w:kern w:val="2"/>
                <w:szCs w:val="21"/>
              </w:rPr>
              <w:t>3、要求平台提供报警忽略机制，可根据需要选择忽略时长，并可对忽略报警信息进行统计导出。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vMerge w:val="continue"/>
            <w:shd w:val="clear" w:color="auto" w:fill="auto"/>
            <w:vAlign w:val="center"/>
          </w:tcPr>
          <w:p>
            <w:pPr>
              <w:spacing w:line="360" w:lineRule="auto"/>
              <w:jc w:val="center"/>
              <w:rPr>
                <w:rFonts w:ascii="宋体" w:hAnsi="宋体" w:cs="宋体"/>
                <w:kern w:val="2"/>
                <w:szCs w:val="21"/>
              </w:rPr>
            </w:pPr>
          </w:p>
        </w:tc>
        <w:tc>
          <w:tcPr>
            <w:tcW w:w="1418" w:type="dxa"/>
            <w:shd w:val="clear" w:color="auto" w:fill="auto"/>
            <w:vAlign w:val="center"/>
          </w:tcPr>
          <w:p>
            <w:pPr>
              <w:spacing w:line="360" w:lineRule="auto"/>
              <w:jc w:val="center"/>
              <w:rPr>
                <w:rFonts w:ascii="宋体" w:hAnsi="宋体" w:cs="宋体"/>
                <w:bCs/>
                <w:kern w:val="2"/>
                <w:szCs w:val="21"/>
              </w:rPr>
            </w:pPr>
            <w:r>
              <w:rPr>
                <w:rFonts w:hint="eastAsia" w:ascii="宋体" w:hAnsi="宋体" w:cs="宋体"/>
                <w:bCs/>
                <w:kern w:val="2"/>
                <w:szCs w:val="21"/>
              </w:rPr>
              <w:t>报表分析</w:t>
            </w:r>
          </w:p>
        </w:tc>
        <w:tc>
          <w:tcPr>
            <w:tcW w:w="5953" w:type="dxa"/>
            <w:shd w:val="clear" w:color="auto" w:fill="auto"/>
          </w:tcPr>
          <w:p>
            <w:pPr>
              <w:spacing w:line="360" w:lineRule="auto"/>
              <w:rPr>
                <w:rFonts w:ascii="宋体" w:hAnsi="宋体" w:cs="宋体"/>
                <w:kern w:val="2"/>
                <w:szCs w:val="21"/>
              </w:rPr>
            </w:pPr>
            <w:r>
              <w:rPr>
                <w:rFonts w:hint="eastAsia" w:ascii="宋体" w:hAnsi="宋体" w:cs="宋体"/>
                <w:kern w:val="2"/>
                <w:szCs w:val="21"/>
              </w:rPr>
              <w:t>▲1、要求平台提供全网服务器、虚拟机资源的</w:t>
            </w:r>
            <w:r>
              <w:rPr>
                <w:rFonts w:ascii="宋体" w:hAnsi="宋体" w:cs="宋体"/>
                <w:kern w:val="2"/>
                <w:szCs w:val="21"/>
              </w:rPr>
              <w:t>CPU、内存、硬盘资源的分配情况及分配合理度进行分析，同时支持台账导出功能。</w:t>
            </w:r>
            <w:r>
              <w:rPr>
                <w:rFonts w:hint="eastAsia" w:ascii="宋体" w:hAnsi="宋体" w:cs="宋体"/>
                <w:kern w:val="2"/>
                <w:szCs w:val="21"/>
              </w:rPr>
              <w:t>（要求提供截图等相关证明材料）</w:t>
            </w:r>
          </w:p>
          <w:p>
            <w:pPr>
              <w:spacing w:line="360" w:lineRule="auto"/>
              <w:rPr>
                <w:rFonts w:ascii="宋体" w:hAnsi="宋体" w:cs="宋体"/>
                <w:kern w:val="2"/>
                <w:szCs w:val="21"/>
              </w:rPr>
            </w:pPr>
            <w:r>
              <w:rPr>
                <w:rFonts w:hint="eastAsia" w:ascii="宋体" w:hAnsi="宋体" w:cs="宋体"/>
                <w:kern w:val="2"/>
                <w:szCs w:val="21"/>
              </w:rPr>
              <w:t>▲2、要求平台支持对跨平台操作系统的</w:t>
            </w:r>
            <w:r>
              <w:rPr>
                <w:rFonts w:ascii="宋体" w:hAnsi="宋体" w:cs="宋体"/>
                <w:kern w:val="2"/>
                <w:szCs w:val="21"/>
              </w:rPr>
              <w:t>磁盘空间、Oracle表空间、ASM共享存储空间预计用完日期的预期预判，同时平台支持对空间用尽剩余天数，做报警提醒</w:t>
            </w:r>
            <w:r>
              <w:rPr>
                <w:rFonts w:hint="eastAsia" w:ascii="宋体" w:hAnsi="宋体" w:cs="宋体"/>
                <w:kern w:val="2"/>
                <w:szCs w:val="21"/>
              </w:rPr>
              <w:t>。（要求提供截图等相关证明材料）</w:t>
            </w:r>
          </w:p>
          <w:p>
            <w:pPr>
              <w:spacing w:line="360" w:lineRule="auto"/>
              <w:rPr>
                <w:rFonts w:ascii="宋体" w:hAnsi="宋体" w:cs="宋体"/>
                <w:kern w:val="2"/>
                <w:szCs w:val="21"/>
              </w:rPr>
            </w:pPr>
            <w:r>
              <w:rPr>
                <w:rFonts w:hint="eastAsia" w:ascii="宋体" w:hAnsi="宋体" w:cs="宋体"/>
                <w:kern w:val="2"/>
                <w:szCs w:val="21"/>
              </w:rPr>
              <w:t>▲3、要求平台支持设备速查功能，可以快速查询单台服务器的资源配置情况、使用情况、合理度分析三个维度在同一个页面内的直观对比展示，支持对</w:t>
            </w:r>
            <w:r>
              <w:rPr>
                <w:rFonts w:ascii="宋体" w:hAnsi="宋体" w:cs="宋体"/>
                <w:kern w:val="2"/>
                <w:szCs w:val="21"/>
              </w:rPr>
              <w:t>CPU、内存性能昨日、今日、近一周平均的三线环比对照分析，支持对服务器报警情况进行日度/月度的环比对照，以及该服务器近一周报警类型占比情况的分析</w:t>
            </w:r>
            <w:r>
              <w:rPr>
                <w:rFonts w:hint="eastAsia" w:ascii="宋体" w:hAnsi="宋体" w:cs="宋体"/>
                <w:kern w:val="2"/>
                <w:szCs w:val="21"/>
              </w:rPr>
              <w:t>。（要求提供截图等相关证明材料）</w:t>
            </w:r>
          </w:p>
          <w:p>
            <w:pPr>
              <w:spacing w:line="360" w:lineRule="auto"/>
              <w:rPr>
                <w:rFonts w:ascii="宋体" w:hAnsi="宋体" w:cs="宋体"/>
                <w:kern w:val="2"/>
                <w:szCs w:val="21"/>
              </w:rPr>
            </w:pPr>
            <w:r>
              <w:rPr>
                <w:rFonts w:hint="eastAsia" w:ascii="宋体" w:hAnsi="宋体" w:cs="宋体"/>
                <w:kern w:val="2"/>
                <w:szCs w:val="21"/>
              </w:rPr>
              <w:t>4、支持对物理资产、虚拟资产、业务资产进行分类统计。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68" w:type="dxa"/>
            <w:vMerge w:val="continue"/>
            <w:shd w:val="clear" w:color="auto" w:fill="auto"/>
            <w:vAlign w:val="center"/>
          </w:tcPr>
          <w:p>
            <w:pPr>
              <w:spacing w:line="360" w:lineRule="auto"/>
              <w:jc w:val="center"/>
              <w:rPr>
                <w:rFonts w:ascii="宋体" w:hAnsi="宋体" w:cs="宋体"/>
                <w:kern w:val="2"/>
                <w:szCs w:val="21"/>
              </w:rPr>
            </w:pPr>
          </w:p>
        </w:tc>
        <w:tc>
          <w:tcPr>
            <w:tcW w:w="1418" w:type="dxa"/>
            <w:shd w:val="clear" w:color="auto" w:fill="auto"/>
            <w:vAlign w:val="center"/>
          </w:tcPr>
          <w:p>
            <w:pPr>
              <w:spacing w:line="360" w:lineRule="auto"/>
              <w:jc w:val="center"/>
              <w:rPr>
                <w:rFonts w:ascii="宋体" w:hAnsi="宋体" w:cs="宋体"/>
                <w:bCs/>
                <w:kern w:val="2"/>
                <w:szCs w:val="21"/>
              </w:rPr>
            </w:pPr>
            <w:r>
              <w:rPr>
                <w:rFonts w:hint="eastAsia" w:ascii="宋体" w:hAnsi="宋体" w:cs="宋体"/>
                <w:bCs/>
                <w:kern w:val="2"/>
                <w:szCs w:val="21"/>
              </w:rPr>
              <w:t>移动报警</w:t>
            </w:r>
          </w:p>
        </w:tc>
        <w:tc>
          <w:tcPr>
            <w:tcW w:w="5953" w:type="dxa"/>
            <w:shd w:val="clear" w:color="auto" w:fill="auto"/>
          </w:tcPr>
          <w:p>
            <w:pPr>
              <w:spacing w:line="360" w:lineRule="auto"/>
              <w:jc w:val="left"/>
              <w:rPr>
                <w:rFonts w:ascii="宋体" w:hAnsi="宋体" w:cs="宋体"/>
                <w:kern w:val="2"/>
                <w:szCs w:val="21"/>
              </w:rPr>
            </w:pPr>
            <w:r>
              <w:rPr>
                <w:rFonts w:hint="eastAsia" w:ascii="宋体" w:hAnsi="宋体" w:cs="宋体"/>
                <w:kern w:val="2"/>
                <w:szCs w:val="21"/>
              </w:rPr>
              <w:t>▲1、提供微信公众号的报警推送功能，并且支持权限管理，谁的业务谁负责接收报警。同时提供基于微信小程序进行告警接收与展示，同时支持图表化展示报警数据的多种形式分析展示。（要求提供截图等相关证明材料）</w:t>
            </w:r>
          </w:p>
          <w:p>
            <w:pPr>
              <w:spacing w:line="360" w:lineRule="auto"/>
              <w:jc w:val="left"/>
              <w:rPr>
                <w:rFonts w:ascii="宋体" w:hAnsi="宋体" w:cs="宋体"/>
                <w:kern w:val="2"/>
                <w:szCs w:val="21"/>
              </w:rPr>
            </w:pPr>
            <w:r>
              <w:rPr>
                <w:rFonts w:hint="eastAsia" w:ascii="宋体" w:hAnsi="宋体" w:cs="宋体"/>
                <w:kern w:val="2"/>
                <w:szCs w:val="21"/>
              </w:rPr>
              <w:t>2、提供基于小程序实现对我所管理服务器的资源（CPU、内存、硬盘）情况查看功能（包括资源配置、当前使用率、资源分配是否合理）；可查看一周报警走势图、一周报警类型排行、一周高频报警业务系统展示、一周高频报警I</w:t>
            </w:r>
            <w:r>
              <w:rPr>
                <w:rFonts w:ascii="宋体" w:hAnsi="宋体" w:cs="宋体"/>
                <w:kern w:val="2"/>
                <w:szCs w:val="21"/>
              </w:rPr>
              <w:t>P</w:t>
            </w:r>
            <w:r>
              <w:rPr>
                <w:rFonts w:hint="eastAsia" w:ascii="宋体" w:hAnsi="宋体" w:cs="宋体"/>
                <w:kern w:val="2"/>
                <w:szCs w:val="21"/>
              </w:rPr>
              <w:t>地址展示、一周运维笔记展示。</w:t>
            </w:r>
          </w:p>
          <w:p>
            <w:pPr>
              <w:spacing w:line="360" w:lineRule="auto"/>
              <w:jc w:val="left"/>
              <w:rPr>
                <w:rFonts w:ascii="宋体" w:hAnsi="宋体" w:cs="宋体"/>
                <w:kern w:val="2"/>
                <w:szCs w:val="21"/>
              </w:rPr>
            </w:pPr>
            <w:r>
              <w:rPr>
                <w:rFonts w:hint="eastAsia" w:ascii="宋体" w:hAnsi="宋体" w:cs="宋体"/>
                <w:kern w:val="2"/>
                <w:szCs w:val="21"/>
              </w:rPr>
              <w:t>3、提供基于小程序实现对CPU、内存使用率周平均峰值排行，及硬盘和Oracle表空间预计一个之内用完清单展示功能。</w:t>
            </w:r>
          </w:p>
          <w:p>
            <w:pPr>
              <w:spacing w:line="360" w:lineRule="auto"/>
              <w:jc w:val="left"/>
              <w:rPr>
                <w:rFonts w:ascii="宋体" w:hAnsi="宋体" w:cs="宋体"/>
                <w:kern w:val="2"/>
                <w:szCs w:val="21"/>
              </w:rPr>
            </w:pPr>
            <w:r>
              <w:rPr>
                <w:rFonts w:hint="eastAsia" w:ascii="宋体" w:hAnsi="宋体" w:cs="宋体"/>
                <w:kern w:val="2"/>
                <w:szCs w:val="21"/>
              </w:rPr>
              <w:t>4、提供基于小程序的网格化巡检情况的统计展示。支持展示一周巡检完成情况、上月巡检完成情况的各种排行榜、以及本月跟进笔记排行榜等功能。</w:t>
            </w:r>
          </w:p>
          <w:p>
            <w:pPr>
              <w:spacing w:line="360" w:lineRule="auto"/>
              <w:jc w:val="left"/>
              <w:rPr>
                <w:rFonts w:ascii="宋体" w:hAnsi="宋体" w:cs="宋体"/>
                <w:kern w:val="2"/>
                <w:szCs w:val="21"/>
              </w:rPr>
            </w:pPr>
            <w:r>
              <w:rPr>
                <w:rFonts w:hint="eastAsia" w:ascii="宋体" w:hAnsi="宋体" w:cs="宋体"/>
                <w:kern w:val="2"/>
                <w:szCs w:val="21"/>
              </w:rPr>
              <w:t>5、要求平台支持基于微信小程序对报警信息跟进，记录跟进情况，支持语音输入。</w:t>
            </w:r>
          </w:p>
          <w:p>
            <w:pPr>
              <w:spacing w:line="360" w:lineRule="auto"/>
              <w:jc w:val="left"/>
              <w:rPr>
                <w:rFonts w:ascii="宋体" w:hAnsi="宋体" w:cs="宋体"/>
                <w:kern w:val="2"/>
                <w:szCs w:val="21"/>
              </w:rPr>
            </w:pPr>
            <w:r>
              <w:rPr>
                <w:rFonts w:hint="eastAsia" w:ascii="宋体" w:hAnsi="宋体" w:cs="宋体"/>
                <w:kern w:val="2"/>
                <w:szCs w:val="21"/>
              </w:rPr>
              <w:t>6、要求平台支持基于微信小程序对I</w:t>
            </w:r>
            <w:r>
              <w:rPr>
                <w:rFonts w:ascii="宋体" w:hAnsi="宋体" w:cs="宋体"/>
                <w:kern w:val="2"/>
                <w:szCs w:val="21"/>
              </w:rPr>
              <w:t>P</w:t>
            </w:r>
            <w:r>
              <w:rPr>
                <w:rFonts w:hint="eastAsia" w:ascii="宋体" w:hAnsi="宋体" w:cs="宋体"/>
                <w:kern w:val="2"/>
                <w:szCs w:val="21"/>
              </w:rPr>
              <w:t>地址模糊搜索，即使了解服务器的全面运行指标，包括：服务器的报警信息、性能情况、展示日度新增报警环比对照、阅读新增报警环比对照。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68" w:type="dxa"/>
            <w:shd w:val="clear" w:color="auto" w:fill="auto"/>
            <w:vAlign w:val="center"/>
          </w:tcPr>
          <w:p>
            <w:pPr>
              <w:spacing w:line="360" w:lineRule="auto"/>
              <w:jc w:val="center"/>
              <w:rPr>
                <w:rFonts w:ascii="宋体" w:hAnsi="宋体" w:cs="宋体"/>
                <w:kern w:val="2"/>
                <w:szCs w:val="21"/>
              </w:rPr>
            </w:pPr>
          </w:p>
        </w:tc>
        <w:tc>
          <w:tcPr>
            <w:tcW w:w="1418" w:type="dxa"/>
            <w:shd w:val="clear" w:color="auto" w:fill="auto"/>
            <w:vAlign w:val="center"/>
          </w:tcPr>
          <w:p>
            <w:pPr>
              <w:spacing w:line="360" w:lineRule="auto"/>
              <w:rPr>
                <w:rFonts w:ascii="宋体" w:hAnsi="宋体"/>
                <w:kern w:val="2"/>
                <w:szCs w:val="21"/>
              </w:rPr>
            </w:pPr>
            <w:r>
              <w:rPr>
                <w:rFonts w:hint="eastAsia" w:ascii="宋体" w:hAnsi="宋体"/>
                <w:kern w:val="2"/>
                <w:szCs w:val="21"/>
              </w:rPr>
              <w:t>大屏可视化展示</w:t>
            </w:r>
          </w:p>
          <w:p>
            <w:pPr>
              <w:spacing w:line="360" w:lineRule="auto"/>
              <w:rPr>
                <w:rFonts w:ascii="宋体" w:hAnsi="宋体"/>
                <w:kern w:val="2"/>
                <w:szCs w:val="21"/>
              </w:rPr>
            </w:pPr>
          </w:p>
        </w:tc>
        <w:tc>
          <w:tcPr>
            <w:tcW w:w="5953" w:type="dxa"/>
            <w:shd w:val="clear" w:color="auto" w:fill="auto"/>
          </w:tcPr>
          <w:p>
            <w:pPr>
              <w:spacing w:line="360" w:lineRule="auto"/>
              <w:rPr>
                <w:rFonts w:ascii="宋体" w:hAnsi="宋体"/>
                <w:kern w:val="2"/>
                <w:szCs w:val="21"/>
              </w:rPr>
            </w:pPr>
            <w:r>
              <w:rPr>
                <w:rFonts w:hint="eastAsia" w:ascii="宋体" w:hAnsi="宋体"/>
                <w:kern w:val="2"/>
                <w:szCs w:val="21"/>
              </w:rPr>
              <w:t>▲1、要求平台支持全局展示医院业务系统、数据库、物理服务器、存储设备、网络设备的数量；全局展示当前告警数与当前提醒数；全局展示连通性、磁盘空间、数据库、硬件故障、网络报警的报警数量；可滚动式展示当前的告警信息，并以图标的方式展示一周报警走势、一周高频报警设备。</w:t>
            </w:r>
          </w:p>
          <w:p>
            <w:pPr>
              <w:spacing w:line="360" w:lineRule="auto"/>
              <w:rPr>
                <w:rFonts w:ascii="宋体" w:hAnsi="宋体"/>
                <w:kern w:val="2"/>
                <w:szCs w:val="21"/>
              </w:rPr>
            </w:pPr>
            <w:r>
              <w:rPr>
                <w:rFonts w:hint="eastAsia" w:ascii="宋体" w:hAnsi="宋体"/>
                <w:kern w:val="2"/>
                <w:szCs w:val="21"/>
              </w:rPr>
              <w:t>2、要求平台支持可自定义配置重要业务，大屏展示配置的重要业务的C</w:t>
            </w:r>
            <w:r>
              <w:rPr>
                <w:rFonts w:ascii="宋体" w:hAnsi="宋体"/>
                <w:kern w:val="2"/>
                <w:szCs w:val="21"/>
              </w:rPr>
              <w:t>PU/</w:t>
            </w:r>
            <w:r>
              <w:rPr>
                <w:rFonts w:hint="eastAsia" w:ascii="宋体" w:hAnsi="宋体"/>
                <w:kern w:val="2"/>
                <w:szCs w:val="21"/>
              </w:rPr>
              <w:t>内存使用率情况，硬盘使用率情况。</w:t>
            </w:r>
          </w:p>
          <w:p>
            <w:pPr>
              <w:spacing w:line="360" w:lineRule="auto"/>
              <w:rPr>
                <w:rFonts w:ascii="宋体" w:hAnsi="宋体"/>
                <w:kern w:val="2"/>
                <w:szCs w:val="21"/>
              </w:rPr>
            </w:pPr>
            <w:r>
              <w:rPr>
                <w:rFonts w:hint="eastAsia" w:ascii="宋体" w:hAnsi="宋体"/>
                <w:kern w:val="2"/>
                <w:szCs w:val="21"/>
              </w:rPr>
              <w:t>要求平台支持对报警信息分析并大屏展示，分析维度包括不限于：一周报警/跟进走势、未回复报警时常分布，一周高频报警业务、一周高频报警I</w:t>
            </w:r>
            <w:r>
              <w:rPr>
                <w:rFonts w:ascii="宋体" w:hAnsi="宋体"/>
                <w:kern w:val="2"/>
                <w:szCs w:val="21"/>
              </w:rPr>
              <w:t>P</w:t>
            </w:r>
            <w:r>
              <w:rPr>
                <w:rFonts w:hint="eastAsia" w:ascii="宋体" w:hAnsi="宋体"/>
                <w:kern w:val="2"/>
                <w:szCs w:val="21"/>
              </w:rPr>
              <w:t>、一周报警分类统计等。</w:t>
            </w:r>
          </w:p>
          <w:p>
            <w:pPr>
              <w:spacing w:line="360" w:lineRule="auto"/>
              <w:rPr>
                <w:rFonts w:ascii="宋体" w:hAnsi="宋体"/>
                <w:kern w:val="2"/>
                <w:szCs w:val="21"/>
              </w:rPr>
            </w:pPr>
            <w:r>
              <w:rPr>
                <w:rFonts w:hint="eastAsia" w:ascii="宋体" w:hAnsi="宋体"/>
                <w:kern w:val="2"/>
                <w:szCs w:val="21"/>
              </w:rPr>
              <w:t>3、要求平台支持对全局资源分析并大屏展示，包括但不限于：C</w:t>
            </w:r>
            <w:r>
              <w:rPr>
                <w:rFonts w:ascii="宋体" w:hAnsi="宋体"/>
                <w:kern w:val="2"/>
                <w:szCs w:val="21"/>
              </w:rPr>
              <w:t>PU</w:t>
            </w:r>
            <w:r>
              <w:rPr>
                <w:rFonts w:hint="eastAsia" w:ascii="宋体" w:hAnsi="宋体"/>
                <w:kern w:val="2"/>
                <w:szCs w:val="21"/>
              </w:rPr>
              <w:t>使用率T</w:t>
            </w:r>
            <w:r>
              <w:rPr>
                <w:rFonts w:ascii="宋体" w:hAnsi="宋体"/>
                <w:kern w:val="2"/>
                <w:szCs w:val="21"/>
              </w:rPr>
              <w:t>OP</w:t>
            </w:r>
            <w:r>
              <w:rPr>
                <w:rFonts w:hint="eastAsia" w:ascii="宋体" w:hAnsi="宋体"/>
                <w:kern w:val="2"/>
                <w:szCs w:val="21"/>
              </w:rPr>
              <w:t>5、C</w:t>
            </w:r>
            <w:r>
              <w:rPr>
                <w:rFonts w:ascii="宋体" w:hAnsi="宋体"/>
                <w:kern w:val="2"/>
                <w:szCs w:val="21"/>
              </w:rPr>
              <w:t>PU</w:t>
            </w:r>
            <w:r>
              <w:rPr>
                <w:rFonts w:hint="eastAsia" w:ascii="宋体" w:hAnsi="宋体"/>
                <w:kern w:val="2"/>
                <w:szCs w:val="21"/>
              </w:rPr>
              <w:t>周平均峰值T</w:t>
            </w:r>
            <w:r>
              <w:rPr>
                <w:rFonts w:ascii="宋体" w:hAnsi="宋体"/>
                <w:kern w:val="2"/>
                <w:szCs w:val="21"/>
              </w:rPr>
              <w:t>OP</w:t>
            </w:r>
            <w:r>
              <w:rPr>
                <w:rFonts w:hint="eastAsia" w:ascii="宋体" w:hAnsi="宋体"/>
                <w:kern w:val="2"/>
                <w:szCs w:val="21"/>
              </w:rPr>
              <w:t>5、内存使用率T</w:t>
            </w:r>
            <w:r>
              <w:rPr>
                <w:rFonts w:ascii="宋体" w:hAnsi="宋体"/>
                <w:kern w:val="2"/>
                <w:szCs w:val="21"/>
              </w:rPr>
              <w:t>OP</w:t>
            </w:r>
            <w:r>
              <w:rPr>
                <w:rFonts w:hint="eastAsia" w:ascii="宋体" w:hAnsi="宋体"/>
                <w:kern w:val="2"/>
                <w:szCs w:val="21"/>
              </w:rPr>
              <w:t>5、表空间使用率T</w:t>
            </w:r>
            <w:r>
              <w:rPr>
                <w:rFonts w:ascii="宋体" w:hAnsi="宋体"/>
                <w:kern w:val="2"/>
                <w:szCs w:val="21"/>
              </w:rPr>
              <w:t>OP</w:t>
            </w:r>
            <w:r>
              <w:rPr>
                <w:rFonts w:hint="eastAsia" w:ascii="宋体" w:hAnsi="宋体"/>
                <w:kern w:val="2"/>
                <w:szCs w:val="21"/>
              </w:rPr>
              <w:t>5、内存周平均峰值T</w:t>
            </w:r>
            <w:r>
              <w:rPr>
                <w:rFonts w:ascii="宋体" w:hAnsi="宋体"/>
                <w:kern w:val="2"/>
                <w:szCs w:val="21"/>
              </w:rPr>
              <w:t>OP</w:t>
            </w:r>
            <w:r>
              <w:rPr>
                <w:rFonts w:hint="eastAsia" w:ascii="宋体" w:hAnsi="宋体"/>
                <w:kern w:val="2"/>
                <w:szCs w:val="21"/>
              </w:rPr>
              <w:t>5、磁盘使用率T</w:t>
            </w:r>
            <w:r>
              <w:rPr>
                <w:rFonts w:ascii="宋体" w:hAnsi="宋体"/>
                <w:kern w:val="2"/>
                <w:szCs w:val="21"/>
              </w:rPr>
              <w:t>OP</w:t>
            </w:r>
            <w:r>
              <w:rPr>
                <w:rFonts w:hint="eastAsia" w:ascii="宋体" w:hAnsi="宋体"/>
                <w:kern w:val="2"/>
                <w:szCs w:val="21"/>
              </w:rPr>
              <w:t>5</w:t>
            </w:r>
            <w:r>
              <w:rPr>
                <w:rFonts w:ascii="宋体" w:hAnsi="宋体"/>
                <w:kern w:val="2"/>
                <w:szCs w:val="21"/>
              </w:rPr>
              <w:t>.</w:t>
            </w:r>
          </w:p>
          <w:p>
            <w:pPr>
              <w:spacing w:line="360" w:lineRule="auto"/>
              <w:rPr>
                <w:rFonts w:ascii="宋体" w:hAnsi="宋体"/>
                <w:kern w:val="2"/>
                <w:szCs w:val="21"/>
              </w:rPr>
            </w:pPr>
            <w:r>
              <w:rPr>
                <w:rFonts w:hint="eastAsia" w:ascii="宋体" w:hAnsi="宋体"/>
                <w:kern w:val="2"/>
                <w:szCs w:val="21"/>
              </w:rPr>
              <w:t>要求平台支持网络拓扑图大屏展示，故障网络设备高亮显示，支持展示核心交换机C</w:t>
            </w:r>
            <w:r>
              <w:rPr>
                <w:rFonts w:ascii="宋体" w:hAnsi="宋体"/>
                <w:kern w:val="2"/>
                <w:szCs w:val="21"/>
              </w:rPr>
              <w:t>PU</w:t>
            </w:r>
            <w:r>
              <w:rPr>
                <w:rFonts w:hint="eastAsia" w:ascii="宋体" w:hAnsi="宋体"/>
                <w:kern w:val="2"/>
                <w:szCs w:val="21"/>
              </w:rPr>
              <w:t>使用率、内存使用率；支持显示网络上行速率、网络下行速率、网络错报数、网络贷款比T</w:t>
            </w:r>
            <w:r>
              <w:rPr>
                <w:rFonts w:ascii="宋体" w:hAnsi="宋体"/>
                <w:kern w:val="2"/>
                <w:szCs w:val="21"/>
              </w:rPr>
              <w:t>OP</w:t>
            </w:r>
            <w:r>
              <w:rPr>
                <w:rFonts w:hint="eastAsia" w:ascii="宋体" w:hAnsi="宋体"/>
                <w:kern w:val="2"/>
                <w:szCs w:val="21"/>
              </w:rPr>
              <w:t>设备展示。</w:t>
            </w:r>
          </w:p>
        </w:tc>
      </w:tr>
    </w:tbl>
    <w:p>
      <w:pPr>
        <w:pStyle w:val="8"/>
        <w:spacing w:beforeLines="50" w:line="360" w:lineRule="auto"/>
        <w:rPr>
          <w:rFonts w:ascii="宋体" w:hAnsi="宋体"/>
        </w:rPr>
      </w:pPr>
    </w:p>
    <w:p>
      <w:pPr>
        <w:pStyle w:val="17"/>
        <w:widowControl/>
        <w:shd w:val="clear" w:color="auto" w:fill="FFFFFF"/>
        <w:spacing w:beforeAutospacing="0" w:afterAutospacing="0" w:line="450" w:lineRule="atLeast"/>
        <w:rPr>
          <w:rFonts w:ascii="微软雅黑" w:hAnsi="微软雅黑" w:eastAsia="微软雅黑" w:cs="宋体"/>
          <w:color w:val="333333"/>
          <w:sz w:val="22"/>
          <w:szCs w:val="22"/>
          <w:shd w:val="clear" w:color="auto" w:fill="FFFFFF"/>
        </w:rPr>
      </w:pPr>
    </w:p>
    <w:p>
      <w:pPr>
        <w:spacing w:line="400" w:lineRule="exact"/>
        <w:ind w:left="1200" w:hanging="1200" w:hangingChars="500"/>
        <w:rPr>
          <w:rFonts w:ascii="宋体" w:hAnsi="宋体" w:cs="宋体"/>
          <w:color w:val="000000"/>
          <w:sz w:val="24"/>
          <w:szCs w:val="24"/>
        </w:rPr>
      </w:pPr>
    </w:p>
    <w:p/>
    <w:p>
      <w:pPr>
        <w:pStyle w:val="17"/>
        <w:widowControl/>
        <w:shd w:val="clear" w:color="auto" w:fill="FFFFFF"/>
        <w:spacing w:beforeAutospacing="0" w:afterAutospacing="0" w:line="450" w:lineRule="atLeast"/>
        <w:ind w:firstLine="1100" w:firstLineChars="500"/>
        <w:rPr>
          <w:rFonts w:ascii="微软雅黑" w:hAnsi="微软雅黑" w:eastAsia="微软雅黑" w:cs="宋体"/>
          <w:color w:val="444444"/>
          <w:sz w:val="22"/>
          <w:szCs w:val="22"/>
          <w:shd w:val="clear" w:color="auto" w:fill="FFFFFF"/>
        </w:rPr>
      </w:pPr>
    </w:p>
    <w:p>
      <w:pPr>
        <w:spacing w:before="240" w:line="400" w:lineRule="atLeast"/>
        <w:rPr>
          <w:rFonts w:ascii="宋体" w:hAnsi="宋体"/>
          <w:b/>
          <w:sz w:val="36"/>
        </w:rPr>
      </w:pPr>
    </w:p>
    <w:p>
      <w:pPr>
        <w:pStyle w:val="36"/>
        <w:ind w:firstLine="723"/>
        <w:rPr>
          <w:rFonts w:hint="default" w:hAnsi="宋体"/>
          <w:b/>
          <w:sz w:val="36"/>
        </w:rPr>
      </w:pPr>
    </w:p>
    <w:p>
      <w:pPr>
        <w:rPr>
          <w:rFonts w:ascii="宋体" w:hAnsi="宋体"/>
          <w:b/>
          <w:sz w:val="36"/>
        </w:rPr>
      </w:pPr>
    </w:p>
    <w:p>
      <w:pPr>
        <w:pStyle w:val="36"/>
        <w:ind w:firstLine="723"/>
        <w:rPr>
          <w:rFonts w:hint="default" w:hAnsi="宋体"/>
          <w:b/>
          <w:sz w:val="36"/>
        </w:rPr>
      </w:pPr>
    </w:p>
    <w:p>
      <w:pPr>
        <w:rPr>
          <w:rFonts w:ascii="宋体" w:hAnsi="宋体"/>
          <w:b/>
          <w:sz w:val="36"/>
        </w:rPr>
      </w:pPr>
    </w:p>
    <w:p>
      <w:pPr>
        <w:pStyle w:val="36"/>
        <w:ind w:firstLine="723"/>
        <w:rPr>
          <w:rFonts w:hint="default" w:hAnsi="宋体"/>
          <w:b/>
          <w:sz w:val="36"/>
        </w:rPr>
      </w:pPr>
    </w:p>
    <w:p>
      <w:pPr>
        <w:rPr>
          <w:rFonts w:ascii="宋体" w:hAnsi="宋体"/>
          <w:b/>
          <w:sz w:val="36"/>
        </w:rPr>
      </w:pPr>
    </w:p>
    <w:p>
      <w:pPr>
        <w:pStyle w:val="36"/>
        <w:ind w:firstLine="723"/>
        <w:rPr>
          <w:rFonts w:hint="default" w:hAnsi="宋体"/>
          <w:b/>
          <w:sz w:val="36"/>
        </w:rPr>
      </w:pPr>
    </w:p>
    <w:p>
      <w:pPr>
        <w:rPr>
          <w:rFonts w:ascii="宋体" w:hAnsi="宋体"/>
          <w:b/>
          <w:sz w:val="36"/>
        </w:rPr>
      </w:pPr>
    </w:p>
    <w:p>
      <w:pPr>
        <w:pStyle w:val="36"/>
        <w:ind w:firstLine="723"/>
        <w:rPr>
          <w:rFonts w:hint="default" w:hAnsi="宋体"/>
          <w:b/>
          <w:sz w:val="36"/>
        </w:rPr>
      </w:pPr>
    </w:p>
    <w:p>
      <w:pPr>
        <w:pStyle w:val="36"/>
        <w:ind w:firstLine="0" w:firstLineChars="0"/>
        <w:rPr>
          <w:rFonts w:hint="default" w:hAnsi="宋体"/>
          <w:b/>
          <w:sz w:val="36"/>
        </w:rPr>
      </w:pPr>
    </w:p>
    <w:p>
      <w:pPr>
        <w:numPr>
          <w:ilvl w:val="0"/>
          <w:numId w:val="1"/>
        </w:numPr>
        <w:jc w:val="center"/>
        <w:rPr>
          <w:rFonts w:ascii="宋体" w:hAnsi="宋体"/>
          <w:b/>
          <w:sz w:val="36"/>
        </w:rPr>
      </w:pPr>
      <w:r>
        <w:rPr>
          <w:rFonts w:hint="eastAsia" w:ascii="宋体" w:hAnsi="宋体"/>
          <w:b/>
          <w:sz w:val="36"/>
        </w:rPr>
        <w:t>拟签订的合同文本</w:t>
      </w:r>
    </w:p>
    <w:p>
      <w:pPr>
        <w:spacing w:before="120" w:line="360" w:lineRule="auto"/>
        <w:ind w:left="960"/>
        <w:rPr>
          <w:sz w:val="24"/>
          <w:szCs w:val="24"/>
        </w:rPr>
      </w:pPr>
    </w:p>
    <w:p>
      <w:pPr>
        <w:spacing w:before="120" w:line="360" w:lineRule="auto"/>
        <w:ind w:left="960"/>
        <w:rPr>
          <w:sz w:val="24"/>
          <w:szCs w:val="24"/>
        </w:rPr>
      </w:pPr>
    </w:p>
    <w:p>
      <w:pPr>
        <w:spacing w:before="120" w:line="360" w:lineRule="auto"/>
        <w:ind w:left="960"/>
        <w:rPr>
          <w:sz w:val="24"/>
          <w:szCs w:val="24"/>
        </w:rPr>
      </w:pPr>
    </w:p>
    <w:p>
      <w:pPr>
        <w:spacing w:before="120" w:line="360" w:lineRule="auto"/>
        <w:ind w:left="960"/>
        <w:rPr>
          <w:sz w:val="24"/>
          <w:szCs w:val="24"/>
        </w:rPr>
      </w:pPr>
    </w:p>
    <w:p>
      <w:pPr>
        <w:spacing w:before="120" w:line="360" w:lineRule="auto"/>
        <w:ind w:left="960"/>
        <w:rPr>
          <w:sz w:val="24"/>
          <w:szCs w:val="24"/>
        </w:rPr>
      </w:pPr>
      <w:r>
        <w:rPr>
          <w:rFonts w:hint="eastAsia"/>
          <w:sz w:val="24"/>
          <w:szCs w:val="24"/>
        </w:rPr>
        <w:t>项目名称：</w:t>
      </w:r>
    </w:p>
    <w:p>
      <w:pPr>
        <w:spacing w:before="120" w:line="360" w:lineRule="auto"/>
        <w:ind w:left="960"/>
        <w:rPr>
          <w:sz w:val="24"/>
          <w:szCs w:val="24"/>
          <w:u w:val="single"/>
        </w:rPr>
      </w:pPr>
      <w:r>
        <w:rPr>
          <w:rFonts w:hint="eastAsia"/>
          <w:sz w:val="24"/>
          <w:szCs w:val="24"/>
        </w:rPr>
        <w:t>货物名称：</w:t>
      </w:r>
    </w:p>
    <w:p>
      <w:pPr>
        <w:pStyle w:val="2"/>
        <w:spacing w:line="360" w:lineRule="auto"/>
      </w:pPr>
    </w:p>
    <w:p>
      <w:pPr>
        <w:spacing w:before="120" w:line="360" w:lineRule="auto"/>
        <w:ind w:left="960"/>
        <w:rPr>
          <w:sz w:val="24"/>
          <w:szCs w:val="24"/>
          <w:u w:val="single"/>
        </w:rPr>
      </w:pPr>
      <w:r>
        <w:rPr>
          <w:rFonts w:hint="eastAsia"/>
          <w:sz w:val="24"/>
          <w:szCs w:val="24"/>
        </w:rPr>
        <w:t>甲　　方：</w:t>
      </w:r>
      <w:r>
        <w:rPr>
          <w:rFonts w:hint="eastAsia"/>
          <w:sz w:val="24"/>
          <w:szCs w:val="24"/>
          <w:u w:val="single"/>
        </w:rPr>
        <w:t>北京大学第六医院</w:t>
      </w:r>
    </w:p>
    <w:p>
      <w:pPr>
        <w:spacing w:line="360" w:lineRule="auto"/>
        <w:rPr>
          <w:sz w:val="24"/>
          <w:szCs w:val="24"/>
          <w:u w:val="single"/>
        </w:rPr>
      </w:pPr>
      <w:r>
        <w:rPr>
          <w:rFonts w:hint="eastAsia"/>
          <w:sz w:val="24"/>
          <w:szCs w:val="24"/>
        </w:rPr>
        <w:t xml:space="preserve">        地    址: </w:t>
      </w:r>
      <w:r>
        <w:rPr>
          <w:rFonts w:hint="eastAsia"/>
          <w:sz w:val="24"/>
          <w:szCs w:val="24"/>
          <w:u w:val="single"/>
        </w:rPr>
        <w:t>北京市海淀区花园北路51号</w:t>
      </w:r>
    </w:p>
    <w:p>
      <w:pPr>
        <w:spacing w:line="360" w:lineRule="auto"/>
        <w:rPr>
          <w:sz w:val="24"/>
          <w:szCs w:val="24"/>
          <w:u w:val="single"/>
        </w:rPr>
      </w:pPr>
      <w:r>
        <w:rPr>
          <w:rFonts w:hint="eastAsia"/>
          <w:sz w:val="24"/>
          <w:szCs w:val="24"/>
        </w:rPr>
        <w:t xml:space="preserve">        法定代表人: </w:t>
      </w:r>
      <w:r>
        <w:rPr>
          <w:rFonts w:hint="eastAsia"/>
          <w:sz w:val="24"/>
          <w:szCs w:val="24"/>
          <w:u w:val="single"/>
        </w:rPr>
        <w:t>陆林 院长</w:t>
      </w:r>
    </w:p>
    <w:p>
      <w:pPr>
        <w:pStyle w:val="2"/>
        <w:spacing w:line="360" w:lineRule="auto"/>
      </w:pPr>
    </w:p>
    <w:p>
      <w:pPr>
        <w:pStyle w:val="2"/>
        <w:spacing w:line="360" w:lineRule="auto"/>
      </w:pPr>
    </w:p>
    <w:p>
      <w:pPr>
        <w:pStyle w:val="2"/>
        <w:spacing w:line="360" w:lineRule="auto"/>
      </w:pPr>
    </w:p>
    <w:p>
      <w:pPr>
        <w:pStyle w:val="2"/>
        <w:spacing w:line="360" w:lineRule="auto"/>
      </w:pPr>
    </w:p>
    <w:p>
      <w:pPr>
        <w:spacing w:before="120" w:line="360" w:lineRule="auto"/>
        <w:ind w:left="960"/>
        <w:rPr>
          <w:sz w:val="24"/>
          <w:szCs w:val="24"/>
          <w:u w:val="single"/>
        </w:rPr>
      </w:pPr>
      <w:r>
        <w:rPr>
          <w:rFonts w:hint="eastAsia"/>
          <w:sz w:val="24"/>
          <w:szCs w:val="24"/>
        </w:rPr>
        <w:t>乙　　方：</w:t>
      </w:r>
    </w:p>
    <w:p>
      <w:pPr>
        <w:pStyle w:val="2"/>
        <w:spacing w:line="360" w:lineRule="auto"/>
        <w:ind w:firstLine="480"/>
        <w:rPr>
          <w:sz w:val="24"/>
          <w:szCs w:val="24"/>
        </w:rPr>
      </w:pPr>
      <w:r>
        <w:rPr>
          <w:rFonts w:hint="eastAsia"/>
          <w:sz w:val="24"/>
          <w:szCs w:val="24"/>
        </w:rPr>
        <w:t xml:space="preserve">    地    址:</w:t>
      </w:r>
    </w:p>
    <w:p>
      <w:pPr>
        <w:pStyle w:val="2"/>
        <w:spacing w:line="360" w:lineRule="auto"/>
        <w:ind w:firstLine="480"/>
        <w:rPr>
          <w:u w:val="single"/>
        </w:rPr>
      </w:pPr>
      <w:r>
        <w:rPr>
          <w:rFonts w:hint="eastAsia"/>
          <w:sz w:val="24"/>
          <w:szCs w:val="24"/>
        </w:rPr>
        <w:t xml:space="preserve">    法定代表人:</w:t>
      </w:r>
    </w:p>
    <w:p>
      <w:pPr>
        <w:spacing w:afterLines="50" w:line="500" w:lineRule="exact"/>
        <w:jc w:val="center"/>
        <w:rPr>
          <w:b/>
          <w:sz w:val="24"/>
          <w:szCs w:val="24"/>
        </w:rPr>
      </w:pPr>
      <w:r>
        <w:rPr>
          <w:sz w:val="24"/>
          <w:szCs w:val="24"/>
        </w:rPr>
        <w:br w:type="page"/>
      </w:r>
      <w:r>
        <w:rPr>
          <w:rFonts w:hint="eastAsia"/>
          <w:b/>
          <w:sz w:val="24"/>
          <w:szCs w:val="24"/>
        </w:rPr>
        <w:t>合同书</w:t>
      </w:r>
    </w:p>
    <w:p>
      <w:pPr>
        <w:spacing w:beforeLines="50" w:afterLines="50" w:line="500" w:lineRule="exact"/>
        <w:ind w:firstLine="480" w:firstLineChars="200"/>
        <w:rPr>
          <w:sz w:val="24"/>
          <w:szCs w:val="24"/>
        </w:rPr>
      </w:pPr>
      <w:r>
        <w:rPr>
          <w:rFonts w:hint="eastAsia"/>
          <w:sz w:val="24"/>
          <w:szCs w:val="24"/>
          <w:u w:val="single"/>
        </w:rPr>
        <w:t>（）</w:t>
      </w:r>
      <w:r>
        <w:rPr>
          <w:rFonts w:hint="eastAsia"/>
          <w:sz w:val="24"/>
          <w:szCs w:val="24"/>
        </w:rPr>
        <w:t>就</w:t>
      </w:r>
      <w:r>
        <w:rPr>
          <w:rFonts w:hint="eastAsia"/>
          <w:sz w:val="24"/>
          <w:szCs w:val="24"/>
          <w:u w:val="single"/>
        </w:rPr>
        <w:t>（）</w:t>
      </w:r>
      <w:r>
        <w:rPr>
          <w:rFonts w:hint="eastAsia"/>
          <w:sz w:val="24"/>
          <w:szCs w:val="24"/>
        </w:rPr>
        <w:t>中所需</w:t>
      </w:r>
      <w:r>
        <w:rPr>
          <w:rFonts w:hint="eastAsia"/>
          <w:sz w:val="24"/>
          <w:szCs w:val="24"/>
          <w:u w:val="single"/>
        </w:rPr>
        <w:t>（）</w:t>
      </w:r>
      <w:r>
        <w:rPr>
          <w:rFonts w:hint="eastAsia"/>
          <w:sz w:val="24"/>
          <w:szCs w:val="24"/>
        </w:rPr>
        <w:t>经</w:t>
      </w:r>
      <w:r>
        <w:rPr>
          <w:rFonts w:hint="eastAsia"/>
          <w:sz w:val="24"/>
          <w:szCs w:val="24"/>
          <w:u w:val="single"/>
        </w:rPr>
        <w:t>（）</w:t>
      </w:r>
      <w:r>
        <w:rPr>
          <w:rFonts w:hint="eastAsia"/>
          <w:sz w:val="24"/>
          <w:szCs w:val="24"/>
        </w:rPr>
        <w:t>，经院内公开招标采购，经项目论证</w:t>
      </w:r>
      <w:r>
        <w:rPr>
          <w:sz w:val="24"/>
          <w:szCs w:val="24"/>
        </w:rPr>
        <w:t>专家</w:t>
      </w:r>
      <w:r>
        <w:rPr>
          <w:rFonts w:hint="eastAsia"/>
          <w:sz w:val="24"/>
          <w:szCs w:val="24"/>
        </w:rPr>
        <w:t>评定</w:t>
      </w:r>
      <w:r>
        <w:rPr>
          <w:rFonts w:hint="eastAsia"/>
          <w:sz w:val="24"/>
          <w:szCs w:val="24"/>
          <w:u w:val="single"/>
        </w:rPr>
        <w:t>（）</w:t>
      </w:r>
      <w:r>
        <w:rPr>
          <w:rFonts w:hint="eastAsia"/>
          <w:sz w:val="24"/>
          <w:szCs w:val="24"/>
        </w:rPr>
        <w:t>为中标人。甲乙双方同意按照下面的条款和条件，签署本合同。</w:t>
      </w:r>
    </w:p>
    <w:p>
      <w:pPr>
        <w:spacing w:beforeLines="50" w:afterLines="50" w:line="500" w:lineRule="exact"/>
        <w:rPr>
          <w:b/>
          <w:sz w:val="24"/>
          <w:szCs w:val="24"/>
        </w:rPr>
      </w:pPr>
      <w:r>
        <w:rPr>
          <w:b/>
          <w:sz w:val="24"/>
          <w:szCs w:val="24"/>
        </w:rPr>
        <w:t>1</w:t>
      </w:r>
      <w:r>
        <w:rPr>
          <w:rFonts w:hint="eastAsia"/>
          <w:b/>
          <w:sz w:val="24"/>
          <w:szCs w:val="24"/>
        </w:rPr>
        <w:t>、合同文件</w:t>
      </w:r>
    </w:p>
    <w:p>
      <w:pPr>
        <w:spacing w:beforeLines="50" w:afterLines="50" w:line="500" w:lineRule="exact"/>
        <w:ind w:firstLine="720"/>
        <w:rPr>
          <w:sz w:val="24"/>
          <w:szCs w:val="24"/>
        </w:rPr>
      </w:pPr>
      <w:r>
        <w:rPr>
          <w:rFonts w:hint="eastAsia"/>
          <w:sz w:val="24"/>
          <w:szCs w:val="24"/>
        </w:rPr>
        <w:t>下列文件构成本合同的组成部分，应该认为是一个整体，彼此相互解释，相互补充。为便于解释，组成合同的多个文件的优先支配地位的次序如下：</w:t>
      </w:r>
    </w:p>
    <w:p>
      <w:pPr>
        <w:spacing w:beforeLines="50" w:afterLines="50" w:line="500" w:lineRule="exact"/>
        <w:ind w:firstLine="540"/>
        <w:rPr>
          <w:sz w:val="24"/>
          <w:szCs w:val="24"/>
        </w:rPr>
      </w:pPr>
      <w:r>
        <w:rPr>
          <w:sz w:val="24"/>
          <w:szCs w:val="24"/>
        </w:rPr>
        <w:t>a.</w:t>
      </w:r>
      <w:r>
        <w:rPr>
          <w:sz w:val="24"/>
          <w:szCs w:val="24"/>
        </w:rPr>
        <w:tab/>
      </w:r>
      <w:r>
        <w:rPr>
          <w:rFonts w:hint="eastAsia"/>
          <w:sz w:val="24"/>
          <w:szCs w:val="24"/>
        </w:rPr>
        <w:t>本合同书　</w:t>
      </w:r>
    </w:p>
    <w:p>
      <w:pPr>
        <w:spacing w:beforeLines="50" w:afterLines="50" w:line="500" w:lineRule="exact"/>
        <w:ind w:firstLine="540"/>
        <w:rPr>
          <w:sz w:val="24"/>
          <w:szCs w:val="24"/>
        </w:rPr>
      </w:pPr>
      <w:r>
        <w:rPr>
          <w:sz w:val="24"/>
          <w:szCs w:val="24"/>
        </w:rPr>
        <w:t>b.</w:t>
      </w:r>
      <w:r>
        <w:rPr>
          <w:sz w:val="24"/>
          <w:szCs w:val="24"/>
        </w:rPr>
        <w:tab/>
      </w:r>
      <w:r>
        <w:rPr>
          <w:rFonts w:hint="eastAsia"/>
          <w:sz w:val="24"/>
          <w:szCs w:val="24"/>
        </w:rPr>
        <w:t>中标通知书复印件</w:t>
      </w:r>
    </w:p>
    <w:p>
      <w:pPr>
        <w:spacing w:beforeLines="50" w:afterLines="50" w:line="500" w:lineRule="exact"/>
        <w:ind w:firstLine="540"/>
        <w:rPr>
          <w:sz w:val="24"/>
          <w:szCs w:val="24"/>
        </w:rPr>
      </w:pPr>
      <w:r>
        <w:rPr>
          <w:sz w:val="24"/>
          <w:szCs w:val="24"/>
        </w:rPr>
        <w:t>c</w:t>
      </w:r>
      <w:r>
        <w:rPr>
          <w:rFonts w:hint="eastAsia"/>
          <w:sz w:val="24"/>
          <w:szCs w:val="24"/>
        </w:rPr>
        <w:t>．合同一般条款</w:t>
      </w:r>
    </w:p>
    <w:p>
      <w:pPr>
        <w:spacing w:beforeLines="50" w:afterLines="50" w:line="500" w:lineRule="exact"/>
        <w:ind w:firstLine="540"/>
        <w:rPr>
          <w:sz w:val="24"/>
          <w:szCs w:val="24"/>
        </w:rPr>
      </w:pPr>
      <w:r>
        <w:rPr>
          <w:sz w:val="24"/>
          <w:szCs w:val="24"/>
        </w:rPr>
        <w:t>d.</w:t>
      </w:r>
      <w:r>
        <w:rPr>
          <w:sz w:val="24"/>
          <w:szCs w:val="24"/>
        </w:rPr>
        <w:tab/>
      </w:r>
      <w:r>
        <w:rPr>
          <w:rFonts w:hint="eastAsia"/>
          <w:sz w:val="24"/>
          <w:szCs w:val="24"/>
        </w:rPr>
        <w:t>货物清单及技术规格参数</w:t>
      </w:r>
      <w:r>
        <w:rPr>
          <w:sz w:val="24"/>
          <w:szCs w:val="24"/>
        </w:rPr>
        <w:tab/>
      </w:r>
      <w:r>
        <w:rPr>
          <w:sz w:val="24"/>
          <w:szCs w:val="24"/>
        </w:rPr>
        <w:tab/>
      </w:r>
      <w:r>
        <w:rPr>
          <w:sz w:val="24"/>
          <w:szCs w:val="24"/>
        </w:rPr>
        <w:tab/>
      </w:r>
      <w:r>
        <w:rPr>
          <w:sz w:val="24"/>
          <w:szCs w:val="24"/>
        </w:rPr>
        <w:tab/>
      </w:r>
    </w:p>
    <w:p>
      <w:pPr>
        <w:spacing w:beforeLines="50" w:afterLines="50" w:line="500" w:lineRule="exact"/>
        <w:ind w:firstLine="540"/>
        <w:rPr>
          <w:sz w:val="24"/>
          <w:szCs w:val="24"/>
        </w:rPr>
      </w:pPr>
      <w:r>
        <w:rPr>
          <w:sz w:val="24"/>
          <w:szCs w:val="24"/>
        </w:rPr>
        <w:t>e.</w:t>
      </w:r>
      <w:r>
        <w:rPr>
          <w:sz w:val="24"/>
          <w:szCs w:val="24"/>
        </w:rPr>
        <w:tab/>
      </w:r>
      <w:r>
        <w:rPr>
          <w:rFonts w:hint="eastAsia"/>
          <w:sz w:val="24"/>
          <w:szCs w:val="24"/>
        </w:rPr>
        <w:t>投标文件</w:t>
      </w:r>
      <w:r>
        <w:rPr>
          <w:sz w:val="24"/>
          <w:szCs w:val="24"/>
        </w:rPr>
        <w:tab/>
      </w:r>
      <w:r>
        <w:rPr>
          <w:sz w:val="24"/>
          <w:szCs w:val="24"/>
        </w:rPr>
        <w:t>(含澄清文件)</w:t>
      </w:r>
    </w:p>
    <w:p>
      <w:pPr>
        <w:spacing w:beforeLines="50" w:afterLines="50" w:line="500" w:lineRule="exact"/>
        <w:ind w:firstLine="540"/>
        <w:rPr>
          <w:sz w:val="24"/>
          <w:szCs w:val="24"/>
        </w:rPr>
      </w:pPr>
      <w:r>
        <w:rPr>
          <w:sz w:val="24"/>
          <w:szCs w:val="24"/>
        </w:rPr>
        <w:t>f.</w:t>
      </w:r>
      <w:r>
        <w:rPr>
          <w:sz w:val="24"/>
          <w:szCs w:val="24"/>
        </w:rPr>
        <w:tab/>
      </w:r>
      <w:r>
        <w:rPr>
          <w:rFonts w:hint="eastAsia"/>
          <w:sz w:val="24"/>
          <w:szCs w:val="24"/>
        </w:rPr>
        <w:t>招标文件</w:t>
      </w:r>
      <w:r>
        <w:rPr>
          <w:sz w:val="24"/>
          <w:szCs w:val="24"/>
        </w:rPr>
        <w:tab/>
      </w:r>
      <w:r>
        <w:rPr>
          <w:sz w:val="24"/>
          <w:szCs w:val="24"/>
        </w:rPr>
        <w:t>(</w:t>
      </w:r>
      <w:r>
        <w:rPr>
          <w:rFonts w:hint="eastAsia"/>
          <w:sz w:val="24"/>
          <w:szCs w:val="24"/>
        </w:rPr>
        <w:t>含招标文件补充通知</w:t>
      </w:r>
      <w:r>
        <w:rPr>
          <w:sz w:val="24"/>
          <w:szCs w:val="24"/>
        </w:rPr>
        <w:t>)</w:t>
      </w:r>
    </w:p>
    <w:p>
      <w:pPr>
        <w:spacing w:beforeLines="50" w:afterLines="50" w:line="500" w:lineRule="exact"/>
        <w:ind w:firstLine="540"/>
        <w:jc w:val="left"/>
        <w:rPr>
          <w:sz w:val="24"/>
          <w:szCs w:val="24"/>
        </w:rPr>
      </w:pPr>
      <w:r>
        <w:rPr>
          <w:rFonts w:hint="eastAsia"/>
          <w:sz w:val="24"/>
          <w:szCs w:val="24"/>
        </w:rPr>
        <w:t>本合同一式肆份，甲方执贰份，乙方执贰份。</w:t>
      </w:r>
    </w:p>
    <w:p>
      <w:pPr>
        <w:spacing w:beforeLines="50" w:afterLines="50" w:line="500" w:lineRule="exact"/>
        <w:rPr>
          <w:b/>
          <w:sz w:val="24"/>
          <w:szCs w:val="24"/>
        </w:rPr>
      </w:pPr>
      <w:r>
        <w:rPr>
          <w:b/>
          <w:sz w:val="24"/>
          <w:szCs w:val="24"/>
        </w:rPr>
        <w:t>2、货物和数量</w:t>
      </w:r>
    </w:p>
    <w:p>
      <w:pPr>
        <w:spacing w:beforeLines="50" w:afterLines="50" w:line="500" w:lineRule="exact"/>
        <w:ind w:firstLine="454"/>
        <w:rPr>
          <w:sz w:val="24"/>
          <w:szCs w:val="24"/>
          <w:u w:val="single"/>
        </w:rPr>
      </w:pPr>
      <w:r>
        <w:rPr>
          <w:rFonts w:hint="eastAsia"/>
          <w:sz w:val="24"/>
          <w:szCs w:val="24"/>
        </w:rPr>
        <w:t>本合同货物：</w:t>
      </w:r>
    </w:p>
    <w:p>
      <w:pPr>
        <w:spacing w:beforeLines="50" w:afterLines="50" w:line="500" w:lineRule="exact"/>
        <w:ind w:firstLine="454"/>
        <w:rPr>
          <w:sz w:val="24"/>
          <w:szCs w:val="24"/>
          <w:u w:val="single"/>
        </w:rPr>
      </w:pPr>
      <w:r>
        <w:rPr>
          <w:rFonts w:hint="eastAsia"/>
          <w:sz w:val="24"/>
          <w:szCs w:val="24"/>
        </w:rPr>
        <w:t>品牌及版本：</w:t>
      </w:r>
    </w:p>
    <w:p>
      <w:pPr>
        <w:spacing w:beforeLines="50" w:afterLines="50" w:line="500" w:lineRule="exact"/>
        <w:ind w:firstLine="454"/>
        <w:rPr>
          <w:sz w:val="24"/>
          <w:szCs w:val="24"/>
        </w:rPr>
      </w:pPr>
      <w:r>
        <w:rPr>
          <w:rFonts w:hint="eastAsia"/>
          <w:sz w:val="24"/>
          <w:szCs w:val="24"/>
        </w:rPr>
        <w:t>功能详情：</w:t>
      </w:r>
    </w:p>
    <w:p>
      <w:pPr>
        <w:spacing w:beforeLines="50" w:afterLines="50" w:line="500" w:lineRule="exact"/>
        <w:rPr>
          <w:b/>
          <w:sz w:val="24"/>
          <w:szCs w:val="24"/>
        </w:rPr>
      </w:pPr>
      <w:r>
        <w:rPr>
          <w:b/>
          <w:sz w:val="24"/>
          <w:szCs w:val="24"/>
        </w:rPr>
        <w:t>3、合同总价</w:t>
      </w:r>
    </w:p>
    <w:p>
      <w:pPr>
        <w:spacing w:beforeLines="50" w:afterLines="50" w:line="500" w:lineRule="exact"/>
        <w:ind w:firstLine="454"/>
        <w:rPr>
          <w:sz w:val="24"/>
          <w:szCs w:val="24"/>
          <w:u w:val="single"/>
        </w:rPr>
      </w:pPr>
      <w:r>
        <w:rPr>
          <w:rFonts w:hint="eastAsia"/>
          <w:sz w:val="24"/>
          <w:szCs w:val="24"/>
        </w:rPr>
        <w:t>本合同总价为：</w:t>
      </w:r>
    </w:p>
    <w:p>
      <w:pPr>
        <w:spacing w:beforeLines="50" w:afterLines="50" w:line="500" w:lineRule="exact"/>
        <w:ind w:left="482" w:hanging="482" w:hangingChars="200"/>
        <w:rPr>
          <w:b/>
          <w:sz w:val="24"/>
          <w:szCs w:val="24"/>
        </w:rPr>
      </w:pPr>
      <w:r>
        <w:rPr>
          <w:b/>
          <w:sz w:val="24"/>
          <w:szCs w:val="24"/>
        </w:rPr>
        <w:t>4、付款方式：</w:t>
      </w:r>
    </w:p>
    <w:p>
      <w:pPr>
        <w:pStyle w:val="2"/>
        <w:numPr>
          <w:ilvl w:val="0"/>
          <w:numId w:val="8"/>
        </w:numPr>
        <w:spacing w:beforeLines="50" w:afterLines="50" w:line="500" w:lineRule="exact"/>
        <w:ind w:left="0" w:firstLine="480"/>
        <w:rPr>
          <w:rFonts w:ascii="宋体" w:hAnsi="宋体"/>
          <w:sz w:val="24"/>
        </w:rPr>
      </w:pPr>
      <w:r>
        <w:rPr>
          <w:rFonts w:hint="eastAsia" w:ascii="宋体" w:hAnsi="宋体"/>
          <w:sz w:val="24"/>
        </w:rPr>
        <w:t>合同生效后，甲方收到乙方的付款申请、相应金额的增值税普通发票及合同总金额10%</w:t>
      </w:r>
      <w:r>
        <w:rPr>
          <w:rFonts w:ascii="宋体" w:hAnsi="宋体"/>
          <w:sz w:val="24"/>
        </w:rPr>
        <w:t>的</w:t>
      </w:r>
      <w:r>
        <w:rPr>
          <w:rFonts w:hint="eastAsia" w:ascii="宋体" w:hAnsi="宋体"/>
          <w:sz w:val="24"/>
        </w:rPr>
        <w:t>履约保函（）</w:t>
      </w:r>
      <w:r>
        <w:rPr>
          <w:rFonts w:ascii="宋体" w:hAnsi="宋体"/>
          <w:sz w:val="24"/>
        </w:rPr>
        <w:t>后，甲方在</w:t>
      </w:r>
      <w:r>
        <w:rPr>
          <w:rFonts w:hint="eastAsia" w:ascii="宋体" w:hAnsi="宋体"/>
          <w:sz w:val="24"/>
        </w:rPr>
        <w:t>30</w:t>
      </w:r>
      <w:r>
        <w:rPr>
          <w:rFonts w:ascii="宋体" w:hAnsi="宋体"/>
          <w:sz w:val="24"/>
        </w:rPr>
        <w:t>个工作日内向乙方支付全部合同款，即人民币元；</w:t>
      </w:r>
    </w:p>
    <w:p>
      <w:pPr>
        <w:pStyle w:val="2"/>
        <w:numPr>
          <w:ilvl w:val="0"/>
          <w:numId w:val="8"/>
        </w:numPr>
        <w:spacing w:beforeLines="50" w:afterLines="50" w:line="500" w:lineRule="exact"/>
        <w:ind w:left="0" w:firstLine="480"/>
        <w:rPr>
          <w:rFonts w:ascii="宋体" w:hAnsi="宋体"/>
          <w:sz w:val="24"/>
        </w:rPr>
      </w:pPr>
      <w:r>
        <w:rPr>
          <w:rFonts w:hint="eastAsia" w:ascii="宋体" w:hAnsi="宋体"/>
          <w:sz w:val="24"/>
        </w:rPr>
        <w:t>项目通过验收并上线一年后，根据乙方的退还履约保函申请、甲方签发的验收报告</w:t>
      </w:r>
      <w:r>
        <w:rPr>
          <w:rFonts w:ascii="宋体" w:hAnsi="宋体"/>
          <w:sz w:val="24"/>
        </w:rPr>
        <w:t>甲方在</w:t>
      </w:r>
      <w:r>
        <w:rPr>
          <w:rFonts w:hint="eastAsia" w:ascii="宋体" w:hAnsi="宋体"/>
          <w:sz w:val="24"/>
        </w:rPr>
        <w:t>1</w:t>
      </w:r>
      <w:r>
        <w:rPr>
          <w:rFonts w:ascii="宋体" w:hAnsi="宋体"/>
          <w:sz w:val="24"/>
        </w:rPr>
        <w:t>5个工作日内退还乙方</w:t>
      </w:r>
      <w:r>
        <w:rPr>
          <w:rFonts w:hint="eastAsia" w:ascii="宋体" w:hAnsi="宋体"/>
          <w:sz w:val="24"/>
        </w:rPr>
        <w:t>合同</w:t>
      </w:r>
      <w:r>
        <w:rPr>
          <w:rFonts w:ascii="宋体" w:hAnsi="宋体"/>
          <w:sz w:val="24"/>
        </w:rPr>
        <w:t>总金额</w:t>
      </w:r>
      <w:r>
        <w:rPr>
          <w:rFonts w:hint="eastAsia" w:ascii="宋体" w:hAnsi="宋体"/>
          <w:sz w:val="24"/>
        </w:rPr>
        <w:t>10%</w:t>
      </w:r>
      <w:r>
        <w:rPr>
          <w:rFonts w:ascii="宋体" w:hAnsi="宋体"/>
          <w:sz w:val="24"/>
        </w:rPr>
        <w:t>的</w:t>
      </w:r>
      <w:r>
        <w:rPr>
          <w:rFonts w:hint="eastAsia" w:ascii="宋体" w:hAnsi="宋体"/>
          <w:sz w:val="24"/>
        </w:rPr>
        <w:t>履约</w:t>
      </w:r>
      <w:r>
        <w:rPr>
          <w:rFonts w:ascii="宋体" w:hAnsi="宋体"/>
          <w:sz w:val="24"/>
        </w:rPr>
        <w:t>保函</w:t>
      </w:r>
      <w:r>
        <w:rPr>
          <w:rFonts w:hint="eastAsia" w:ascii="宋体" w:hAnsi="宋体"/>
          <w:sz w:val="24"/>
        </w:rPr>
        <w:t>；</w:t>
      </w:r>
    </w:p>
    <w:p>
      <w:pPr>
        <w:spacing w:beforeLines="50" w:afterLines="50" w:line="500" w:lineRule="exact"/>
        <w:rPr>
          <w:b/>
          <w:sz w:val="24"/>
          <w:szCs w:val="24"/>
        </w:rPr>
      </w:pPr>
      <w:r>
        <w:rPr>
          <w:b/>
          <w:sz w:val="24"/>
          <w:szCs w:val="24"/>
        </w:rPr>
        <w:t>5、本合同货物的交货时间及交货地点</w:t>
      </w:r>
    </w:p>
    <w:p>
      <w:pPr>
        <w:spacing w:beforeLines="50" w:afterLines="50" w:line="500" w:lineRule="exact"/>
        <w:ind w:firstLine="480"/>
        <w:rPr>
          <w:sz w:val="24"/>
          <w:szCs w:val="24"/>
        </w:rPr>
      </w:pPr>
      <w:r>
        <w:rPr>
          <w:rFonts w:hint="eastAsia"/>
          <w:sz w:val="24"/>
          <w:szCs w:val="24"/>
        </w:rPr>
        <w:t>系统部署时间：</w:t>
      </w:r>
      <w:r>
        <w:rPr>
          <w:rFonts w:hint="eastAsia"/>
          <w:sz w:val="24"/>
          <w:szCs w:val="24"/>
          <w:u w:val="single"/>
        </w:rPr>
        <w:t>3</w:t>
      </w:r>
      <w:r>
        <w:rPr>
          <w:sz w:val="24"/>
          <w:szCs w:val="24"/>
          <w:u w:val="single"/>
        </w:rPr>
        <w:t>0</w:t>
      </w:r>
      <w:r>
        <w:rPr>
          <w:rFonts w:hint="eastAsia"/>
          <w:sz w:val="24"/>
          <w:szCs w:val="24"/>
          <w:u w:val="single"/>
        </w:rPr>
        <w:t>个工作日。</w:t>
      </w:r>
    </w:p>
    <w:p>
      <w:pPr>
        <w:spacing w:beforeLines="50" w:afterLines="50" w:line="500" w:lineRule="exact"/>
        <w:ind w:firstLine="480"/>
        <w:rPr>
          <w:sz w:val="24"/>
          <w:szCs w:val="24"/>
        </w:rPr>
      </w:pPr>
      <w:r>
        <w:rPr>
          <w:rFonts w:hint="eastAsia"/>
          <w:sz w:val="24"/>
          <w:szCs w:val="24"/>
        </w:rPr>
        <w:t>地点：</w:t>
      </w:r>
      <w:r>
        <w:rPr>
          <w:rFonts w:hint="eastAsia"/>
          <w:sz w:val="24"/>
          <w:szCs w:val="24"/>
          <w:u w:val="single"/>
        </w:rPr>
        <w:t>甲方指定地点。</w:t>
      </w:r>
    </w:p>
    <w:p>
      <w:pPr>
        <w:spacing w:beforeLines="50" w:afterLines="50" w:line="500" w:lineRule="exact"/>
        <w:rPr>
          <w:sz w:val="24"/>
          <w:szCs w:val="24"/>
          <w:u w:val="single"/>
        </w:rPr>
      </w:pPr>
      <w:r>
        <w:rPr>
          <w:b/>
          <w:sz w:val="24"/>
          <w:szCs w:val="24"/>
        </w:rPr>
        <w:t>6、质保期及售后服务：</w:t>
      </w:r>
      <w:r>
        <w:rPr>
          <w:rFonts w:hint="eastAsia"/>
          <w:sz w:val="24"/>
          <w:szCs w:val="24"/>
          <w:u w:val="single"/>
        </w:rPr>
        <w:t>一年原厂服务。</w:t>
      </w:r>
    </w:p>
    <w:p>
      <w:pPr>
        <w:spacing w:beforeLines="50" w:afterLines="50" w:line="500" w:lineRule="exact"/>
        <w:rPr>
          <w:b/>
          <w:sz w:val="24"/>
          <w:szCs w:val="24"/>
        </w:rPr>
      </w:pPr>
      <w:r>
        <w:rPr>
          <w:b/>
          <w:sz w:val="24"/>
          <w:szCs w:val="24"/>
        </w:rPr>
        <w:t>7、以上合同条款及承诺内容均应与投标文件一致，如有不同需与甲方协商。</w:t>
      </w:r>
    </w:p>
    <w:p>
      <w:pPr>
        <w:spacing w:beforeLines="50" w:afterLines="50" w:line="500" w:lineRule="exact"/>
        <w:rPr>
          <w:sz w:val="24"/>
          <w:szCs w:val="24"/>
          <w:u w:val="single"/>
        </w:rPr>
      </w:pPr>
      <w:r>
        <w:rPr>
          <w:b/>
          <w:sz w:val="24"/>
          <w:szCs w:val="24"/>
        </w:rPr>
        <w:t>8、合同的生效。</w:t>
      </w:r>
    </w:p>
    <w:p>
      <w:pPr>
        <w:spacing w:beforeLines="50" w:afterLines="50" w:line="500" w:lineRule="exact"/>
        <w:ind w:firstLine="454"/>
        <w:rPr>
          <w:sz w:val="24"/>
          <w:szCs w:val="24"/>
        </w:rPr>
      </w:pPr>
      <w:r>
        <w:rPr>
          <w:rFonts w:hint="eastAsia"/>
          <w:sz w:val="24"/>
          <w:szCs w:val="24"/>
        </w:rPr>
        <w:t>本合同经双方法定代表人或授权代表签署并加盖单位公章后生效。</w:t>
      </w:r>
    </w:p>
    <w:p>
      <w:pPr>
        <w:pStyle w:val="2"/>
      </w:pPr>
    </w:p>
    <w:p>
      <w:pPr>
        <w:spacing w:beforeLines="50" w:afterLines="50" w:line="500" w:lineRule="exact"/>
        <w:rPr>
          <w:sz w:val="24"/>
          <w:szCs w:val="24"/>
        </w:rPr>
      </w:pPr>
      <w:r>
        <w:rPr>
          <w:rFonts w:hint="eastAsia"/>
          <w:sz w:val="24"/>
          <w:szCs w:val="24"/>
        </w:rPr>
        <w:t>甲方：</w:t>
      </w:r>
      <w:r>
        <w:rPr>
          <w:rFonts w:hint="eastAsia"/>
          <w:sz w:val="24"/>
          <w:szCs w:val="24"/>
          <w:u w:val="single"/>
        </w:rPr>
        <w:t>北京大学第六医院</w:t>
      </w:r>
      <w:r>
        <w:rPr>
          <w:sz w:val="24"/>
          <w:szCs w:val="24"/>
        </w:rPr>
        <w:t>(</w:t>
      </w:r>
      <w:r>
        <w:rPr>
          <w:rFonts w:hint="eastAsia"/>
          <w:sz w:val="24"/>
          <w:szCs w:val="24"/>
        </w:rPr>
        <w:t>盖章</w:t>
      </w:r>
      <w:r>
        <w:rPr>
          <w:sz w:val="24"/>
          <w:szCs w:val="24"/>
        </w:rPr>
        <w:t>)</w:t>
      </w:r>
      <w:r>
        <w:rPr>
          <w:rFonts w:hint="eastAsia"/>
          <w:sz w:val="24"/>
          <w:szCs w:val="24"/>
        </w:rPr>
        <w:t xml:space="preserve">            乙方</w:t>
      </w:r>
      <w:r>
        <w:rPr>
          <w:sz w:val="24"/>
          <w:szCs w:val="24"/>
        </w:rPr>
        <w:t>：(</w:t>
      </w:r>
      <w:r>
        <w:rPr>
          <w:rFonts w:hint="eastAsia"/>
          <w:sz w:val="24"/>
          <w:szCs w:val="24"/>
        </w:rPr>
        <w:t>盖章</w:t>
      </w:r>
      <w:r>
        <w:rPr>
          <w:sz w:val="24"/>
          <w:szCs w:val="24"/>
        </w:rPr>
        <w:t>)</w:t>
      </w:r>
    </w:p>
    <w:p>
      <w:pPr>
        <w:spacing w:beforeLines="50" w:afterLines="50" w:line="500" w:lineRule="exact"/>
        <w:rPr>
          <w:sz w:val="24"/>
          <w:szCs w:val="24"/>
        </w:rPr>
      </w:pPr>
      <w:r>
        <w:rPr>
          <w:rFonts w:hint="eastAsia"/>
          <w:sz w:val="24"/>
          <w:szCs w:val="24"/>
        </w:rPr>
        <w:t>法定代表人或授权代表（签章）：         法定代表人或授权代表（签章）：</w:t>
      </w:r>
    </w:p>
    <w:p>
      <w:pPr>
        <w:spacing w:line="600" w:lineRule="exact"/>
        <w:rPr>
          <w:sz w:val="24"/>
          <w:szCs w:val="24"/>
        </w:rPr>
      </w:pPr>
      <w:r>
        <w:rPr>
          <w:rFonts w:hint="eastAsia"/>
          <w:sz w:val="24"/>
          <w:szCs w:val="24"/>
        </w:rPr>
        <w:t>签字日期：</w:t>
      </w:r>
      <w:r>
        <w:rPr>
          <w:rFonts w:hint="eastAsia"/>
          <w:sz w:val="24"/>
          <w:szCs w:val="24"/>
          <w:u w:val="single"/>
        </w:rPr>
        <w:t xml:space="preserve">    年 月 日</w:t>
      </w:r>
      <w:r>
        <w:rPr>
          <w:rFonts w:hint="eastAsia"/>
          <w:sz w:val="24"/>
          <w:szCs w:val="24"/>
        </w:rPr>
        <w:t>　               签字日期</w:t>
      </w:r>
      <w:r>
        <w:rPr>
          <w:sz w:val="24"/>
          <w:szCs w:val="24"/>
        </w:rPr>
        <w:t>：</w:t>
      </w:r>
      <w:r>
        <w:rPr>
          <w:rFonts w:hint="eastAsia"/>
          <w:sz w:val="24"/>
          <w:szCs w:val="24"/>
          <w:u w:val="single"/>
        </w:rPr>
        <w:t xml:space="preserve">    年 月 日</w:t>
      </w:r>
    </w:p>
    <w:p>
      <w:pPr>
        <w:spacing w:line="600" w:lineRule="exact"/>
        <w:rPr>
          <w:sz w:val="24"/>
          <w:szCs w:val="24"/>
          <w:u w:val="single"/>
        </w:rPr>
      </w:pPr>
      <w:r>
        <w:rPr>
          <w:rFonts w:hint="eastAsia"/>
          <w:sz w:val="24"/>
          <w:szCs w:val="24"/>
        </w:rPr>
        <w:t>邮政编码：</w:t>
      </w:r>
      <w:r>
        <w:rPr>
          <w:rFonts w:hint="eastAsia"/>
          <w:sz w:val="24"/>
          <w:szCs w:val="24"/>
          <w:u w:val="single"/>
        </w:rPr>
        <w:t>1000191</w:t>
      </w:r>
      <w:r>
        <w:rPr>
          <w:sz w:val="24"/>
          <w:szCs w:val="24"/>
        </w:rPr>
        <w:tab/>
      </w:r>
      <w:r>
        <w:rPr>
          <w:rFonts w:hint="eastAsia"/>
          <w:sz w:val="24"/>
          <w:szCs w:val="24"/>
        </w:rPr>
        <w:t xml:space="preserve">                     邮政编码：</w:t>
      </w:r>
    </w:p>
    <w:p>
      <w:pPr>
        <w:spacing w:line="600" w:lineRule="exact"/>
        <w:rPr>
          <w:sz w:val="24"/>
          <w:szCs w:val="24"/>
        </w:rPr>
      </w:pPr>
      <w:r>
        <w:rPr>
          <w:rFonts w:hint="eastAsia"/>
          <w:sz w:val="24"/>
          <w:szCs w:val="24"/>
        </w:rPr>
        <w:t>电话：</w:t>
      </w:r>
      <w:r>
        <w:rPr>
          <w:sz w:val="24"/>
          <w:szCs w:val="24"/>
          <w:u w:val="single"/>
        </w:rPr>
        <w:t>010-</w:t>
      </w:r>
      <w:r>
        <w:rPr>
          <w:rFonts w:hint="eastAsia"/>
          <w:sz w:val="24"/>
          <w:szCs w:val="24"/>
          <w:u w:val="single"/>
        </w:rPr>
        <w:t>62723866</w:t>
      </w:r>
      <w:r>
        <w:rPr>
          <w:sz w:val="24"/>
          <w:szCs w:val="24"/>
        </w:rPr>
        <w:tab/>
      </w:r>
      <w:r>
        <w:rPr>
          <w:sz w:val="24"/>
          <w:szCs w:val="24"/>
        </w:rPr>
        <w:tab/>
      </w:r>
      <w:r>
        <w:rPr>
          <w:rFonts w:hint="eastAsia"/>
          <w:sz w:val="24"/>
          <w:szCs w:val="24"/>
        </w:rPr>
        <w:t xml:space="preserve">                 电话：</w:t>
      </w:r>
    </w:p>
    <w:p>
      <w:pPr>
        <w:spacing w:line="600" w:lineRule="exact"/>
        <w:rPr>
          <w:sz w:val="24"/>
          <w:szCs w:val="24"/>
        </w:rPr>
      </w:pPr>
      <w:r>
        <w:rPr>
          <w:rFonts w:hint="eastAsia"/>
          <w:sz w:val="24"/>
          <w:szCs w:val="24"/>
        </w:rPr>
        <w:t>开户银行：</w:t>
      </w:r>
      <w:r>
        <w:rPr>
          <w:rFonts w:hint="eastAsia"/>
          <w:sz w:val="24"/>
          <w:szCs w:val="24"/>
          <w:u w:val="single"/>
        </w:rPr>
        <w:t>北京银行学知支行</w:t>
      </w:r>
      <w:r>
        <w:rPr>
          <w:rFonts w:hint="eastAsia"/>
          <w:sz w:val="24"/>
          <w:szCs w:val="24"/>
        </w:rPr>
        <w:t xml:space="preserve">            开户银行：</w:t>
      </w:r>
    </w:p>
    <w:p>
      <w:pPr>
        <w:spacing w:line="600" w:lineRule="exact"/>
        <w:rPr>
          <w:sz w:val="24"/>
          <w:szCs w:val="24"/>
          <w:u w:val="single"/>
        </w:rPr>
      </w:pPr>
      <w:r>
        <w:rPr>
          <w:rFonts w:hint="eastAsia"/>
          <w:sz w:val="24"/>
          <w:szCs w:val="24"/>
        </w:rPr>
        <w:t>账号：</w:t>
      </w:r>
      <w:r>
        <w:rPr>
          <w:sz w:val="24"/>
          <w:szCs w:val="24"/>
          <w:u w:val="single"/>
        </w:rPr>
        <w:t>01090375700120109009089</w:t>
      </w:r>
      <w:r>
        <w:rPr>
          <w:rFonts w:hint="eastAsia"/>
          <w:sz w:val="24"/>
          <w:szCs w:val="24"/>
          <w:u w:val="single"/>
        </w:rPr>
        <w:t xml:space="preserve"> </w:t>
      </w:r>
      <w:r>
        <w:rPr>
          <w:sz w:val="24"/>
          <w:szCs w:val="24"/>
        </w:rPr>
        <w:t xml:space="preserve">        </w:t>
      </w:r>
      <w:r>
        <w:rPr>
          <w:rFonts w:hint="eastAsia"/>
          <w:sz w:val="24"/>
          <w:szCs w:val="24"/>
        </w:rPr>
        <w:t>账号：</w:t>
      </w:r>
    </w:p>
    <w:p>
      <w:pPr>
        <w:widowControl/>
        <w:spacing w:line="600" w:lineRule="exact"/>
        <w:jc w:val="left"/>
        <w:rPr>
          <w:b/>
          <w:bCs/>
        </w:rPr>
      </w:pPr>
      <w:r>
        <w:rPr>
          <w:b/>
          <w:bCs/>
        </w:rPr>
        <w:br w:type="page"/>
      </w:r>
    </w:p>
    <w:p>
      <w:pPr>
        <w:spacing w:line="500" w:lineRule="exact"/>
        <w:jc w:val="center"/>
        <w:rPr>
          <w:rFonts w:cs="仿宋_GB2312"/>
          <w:b/>
          <w:bCs/>
          <w:sz w:val="24"/>
        </w:rPr>
      </w:pPr>
      <w:bookmarkStart w:id="1" w:name="_Toc13698"/>
      <w:bookmarkStart w:id="2" w:name="_Toc26905"/>
      <w:bookmarkStart w:id="3" w:name="_Toc18313"/>
      <w:r>
        <w:rPr>
          <w:rFonts w:hint="eastAsia" w:cs="仿宋_GB2312"/>
          <w:b/>
          <w:bCs/>
          <w:sz w:val="24"/>
        </w:rPr>
        <w:t>合同一般条款</w:t>
      </w:r>
      <w:bookmarkEnd w:id="1"/>
      <w:bookmarkEnd w:id="2"/>
      <w:bookmarkEnd w:id="3"/>
    </w:p>
    <w:p>
      <w:pPr>
        <w:spacing w:line="500" w:lineRule="exact"/>
        <w:rPr>
          <w:rFonts w:cs="仿宋_GB2312"/>
          <w:b/>
          <w:sz w:val="24"/>
        </w:rPr>
      </w:pPr>
      <w:r>
        <w:rPr>
          <w:rFonts w:hint="eastAsia" w:cs="仿宋_GB2312"/>
          <w:b/>
          <w:sz w:val="24"/>
        </w:rPr>
        <w:t>1.定义</w:t>
      </w:r>
    </w:p>
    <w:p>
      <w:pPr>
        <w:tabs>
          <w:tab w:val="left" w:pos="900"/>
        </w:tabs>
        <w:spacing w:line="500" w:lineRule="exact"/>
        <w:rPr>
          <w:rFonts w:cs="仿宋_GB2312"/>
          <w:sz w:val="24"/>
        </w:rPr>
      </w:pPr>
      <w:r>
        <w:rPr>
          <w:rFonts w:hint="eastAsia" w:cs="仿宋_GB2312"/>
          <w:sz w:val="24"/>
        </w:rPr>
        <w:t>本合同中的下列术语应当解释为：</w:t>
      </w:r>
    </w:p>
    <w:p>
      <w:pPr>
        <w:pStyle w:val="11"/>
        <w:spacing w:line="500" w:lineRule="exact"/>
        <w:ind w:left="1079" w:leftChars="2" w:hanging="1075" w:hangingChars="448"/>
        <w:rPr>
          <w:rFonts w:cs="仿宋_GB2312"/>
          <w:sz w:val="24"/>
        </w:rPr>
      </w:pPr>
      <w:r>
        <w:rPr>
          <w:rFonts w:hint="eastAsia" w:cs="仿宋_GB2312"/>
          <w:sz w:val="24"/>
        </w:rPr>
        <w:t>1.1     “合同”系指采购人与中标的供货商签订的、载明双方就本次政府采购的相关事项所达成的协议，包括所有的附件、附录和构成合同的其他相关文件。</w:t>
      </w:r>
    </w:p>
    <w:p>
      <w:pPr>
        <w:spacing w:line="500" w:lineRule="exact"/>
        <w:ind w:left="1080" w:hanging="1080" w:hangingChars="450"/>
        <w:rPr>
          <w:rFonts w:cs="仿宋_GB2312"/>
          <w:sz w:val="24"/>
        </w:rPr>
      </w:pPr>
      <w:r>
        <w:rPr>
          <w:rFonts w:hint="eastAsia" w:cs="仿宋_GB2312"/>
          <w:sz w:val="24"/>
        </w:rPr>
        <w:t>1.2     “合同价金”系指根据本合同约定，中标的供货商在完全履行合同义务后采购人应当支付的价款。</w:t>
      </w:r>
    </w:p>
    <w:p>
      <w:pPr>
        <w:spacing w:line="500" w:lineRule="exact"/>
        <w:ind w:left="1080" w:hanging="1080" w:hangingChars="450"/>
        <w:rPr>
          <w:rFonts w:cs="仿宋_GB2312"/>
          <w:sz w:val="24"/>
        </w:rPr>
      </w:pPr>
      <w:r>
        <w:rPr>
          <w:rFonts w:hint="eastAsia" w:cs="仿宋_GB2312"/>
          <w:sz w:val="24"/>
        </w:rPr>
        <w:t>1.3     “货物”系指中标供货商根据合同约定须向采购人提供的用品、设备、机械、仪表、备件等，包括相应的工具、使用说明、保修维修手册等其他相关资料。</w:t>
      </w:r>
    </w:p>
    <w:p>
      <w:pPr>
        <w:spacing w:line="500" w:lineRule="exact"/>
        <w:ind w:left="1080" w:hanging="1080"/>
        <w:rPr>
          <w:rFonts w:cs="仿宋_GB2312"/>
          <w:sz w:val="24"/>
        </w:rPr>
      </w:pPr>
      <w:r>
        <w:rPr>
          <w:rFonts w:hint="eastAsia" w:cs="仿宋_GB2312"/>
          <w:sz w:val="24"/>
        </w:rPr>
        <w:t>1.4     “服务”系指根据合同约定中标供货商提供或承担的服务，如运输、保险及安装、调试、技术援助、培训或者其他与货物相关的服务。</w:t>
      </w:r>
    </w:p>
    <w:p>
      <w:pPr>
        <w:spacing w:line="500" w:lineRule="exact"/>
        <w:rPr>
          <w:rFonts w:cs="仿宋_GB2312"/>
          <w:sz w:val="24"/>
        </w:rPr>
      </w:pPr>
      <w:bookmarkStart w:id="4" w:name="_Ref467378840"/>
      <w:r>
        <w:rPr>
          <w:rFonts w:hint="eastAsia" w:cs="仿宋_GB2312"/>
          <w:sz w:val="24"/>
        </w:rPr>
        <w:t>1.5     “采购人”系指与中标供应商签署供货合同的单位，即合同甲方（含最终用户）。</w:t>
      </w:r>
      <w:bookmarkEnd w:id="4"/>
    </w:p>
    <w:p>
      <w:pPr>
        <w:spacing w:line="500" w:lineRule="exact"/>
        <w:ind w:left="991" w:hanging="991" w:hangingChars="413"/>
        <w:rPr>
          <w:rFonts w:cs="仿宋_GB2312"/>
          <w:sz w:val="24"/>
        </w:rPr>
      </w:pPr>
      <w:bookmarkStart w:id="5" w:name="_Ref467379400"/>
      <w:r>
        <w:rPr>
          <w:rFonts w:hint="eastAsia" w:cs="仿宋_GB2312"/>
          <w:sz w:val="24"/>
        </w:rPr>
        <w:t>1.6     “中标供应商”系指根据合同约定提供货物及相关服务的中标供应商，即合同乙方。</w:t>
      </w:r>
      <w:bookmarkEnd w:id="5"/>
    </w:p>
    <w:p>
      <w:pPr>
        <w:tabs>
          <w:tab w:val="left" w:pos="900"/>
        </w:tabs>
        <w:spacing w:line="500" w:lineRule="exact"/>
        <w:ind w:left="1440" w:hanging="1440" w:hangingChars="600"/>
        <w:rPr>
          <w:rFonts w:cs="仿宋_GB2312"/>
          <w:sz w:val="24"/>
        </w:rPr>
      </w:pPr>
      <w:bookmarkStart w:id="6" w:name="_Ref467379436"/>
      <w:r>
        <w:rPr>
          <w:rFonts w:hint="eastAsia" w:cs="仿宋_GB2312"/>
          <w:sz w:val="24"/>
        </w:rPr>
        <w:t>1.7     “合同履行地”系指合同约定将货物运至、安装或者提供服务的地点。</w:t>
      </w:r>
      <w:bookmarkEnd w:id="6"/>
    </w:p>
    <w:p>
      <w:pPr>
        <w:spacing w:line="500" w:lineRule="exact"/>
        <w:ind w:left="1080" w:hanging="1080" w:hangingChars="450"/>
        <w:rPr>
          <w:rFonts w:cs="仿宋_GB2312"/>
          <w:sz w:val="24"/>
        </w:rPr>
      </w:pPr>
      <w:r>
        <w:rPr>
          <w:rFonts w:hint="eastAsia" w:cs="仿宋_GB2312"/>
          <w:sz w:val="24"/>
        </w:rPr>
        <w:t>1.8     “验收”系指合同双方依据强制性的国家技术质量规范和合同约定，确认合同项下的货物符合合同规定的活动。</w:t>
      </w:r>
      <w:bookmarkStart w:id="7" w:name="_Toc109543188"/>
      <w:bookmarkStart w:id="8" w:name="_Toc109542368"/>
      <w:bookmarkStart w:id="9" w:name="_Toc487900350"/>
    </w:p>
    <w:p>
      <w:pPr>
        <w:spacing w:line="500" w:lineRule="exact"/>
        <w:rPr>
          <w:rFonts w:cs="仿宋_GB2312"/>
          <w:b/>
          <w:sz w:val="24"/>
        </w:rPr>
      </w:pPr>
      <w:r>
        <w:rPr>
          <w:rFonts w:hint="eastAsia" w:cs="仿宋_GB2312"/>
          <w:b/>
          <w:sz w:val="24"/>
        </w:rPr>
        <w:t>2.技术规范</w:t>
      </w:r>
      <w:bookmarkEnd w:id="7"/>
      <w:bookmarkEnd w:id="8"/>
      <w:bookmarkEnd w:id="9"/>
    </w:p>
    <w:p>
      <w:pPr>
        <w:tabs>
          <w:tab w:val="left" w:pos="900"/>
        </w:tabs>
        <w:spacing w:line="500" w:lineRule="exact"/>
        <w:ind w:left="1080" w:hanging="1080" w:hangingChars="450"/>
        <w:rPr>
          <w:rFonts w:cs="仿宋_GB2312"/>
          <w:sz w:val="24"/>
        </w:rPr>
      </w:pPr>
      <w:r>
        <w:rPr>
          <w:rFonts w:hint="eastAsia" w:cs="仿宋_GB2312"/>
          <w:sz w:val="24"/>
        </w:rPr>
        <w:t>2.1      中标供应商提交货物的技术规范应当与招标文件规定的技术规范或技术规范附件及其投标文件的技术规范偏差表相一致。若技术规范中无相应说明，则以国家有关部门最新颁布的相应标准及规范为准。</w:t>
      </w:r>
      <w:bookmarkStart w:id="10" w:name="_Toc109542369"/>
      <w:bookmarkStart w:id="11" w:name="_Toc109543189"/>
      <w:bookmarkStart w:id="12" w:name="_Toc487900351"/>
    </w:p>
    <w:p>
      <w:pPr>
        <w:spacing w:line="500" w:lineRule="exact"/>
        <w:rPr>
          <w:rFonts w:cs="仿宋_GB2312"/>
          <w:b/>
          <w:sz w:val="24"/>
        </w:rPr>
      </w:pPr>
      <w:r>
        <w:rPr>
          <w:rFonts w:hint="eastAsia" w:cs="仿宋_GB2312"/>
          <w:b/>
          <w:sz w:val="24"/>
        </w:rPr>
        <w:t>3.知识产权</w:t>
      </w:r>
      <w:bookmarkEnd w:id="10"/>
      <w:bookmarkEnd w:id="11"/>
      <w:bookmarkEnd w:id="12"/>
    </w:p>
    <w:p>
      <w:pPr>
        <w:spacing w:line="500" w:lineRule="exact"/>
        <w:ind w:left="1080" w:hanging="1080" w:hangingChars="450"/>
        <w:rPr>
          <w:rFonts w:cs="仿宋_GB2312"/>
          <w:sz w:val="24"/>
        </w:rPr>
      </w:pPr>
      <w:r>
        <w:rPr>
          <w:rFonts w:hint="eastAsia" w:cs="仿宋_GB2312"/>
          <w:sz w:val="24"/>
        </w:rPr>
        <w:t>3.1      中标供应商应当保证采购人在使用该货物或其任何一部分时不受第三方侵犯专利权、 著作权、商标权和工业设计权等知识产权的起诉。如果第三方向采购人（含最终用户）提出侵权诉讼，中标供应商须与该第三方交涉并承担由此发生的一切责任、费用和给采购人（含最终用户）造成的经济损失，包括采购人因此支付的赔偿、补偿、罚款以及采购人为处理该侵权诉讼而发生的律师费用、诉讼费用、公证认证等合理费用。</w:t>
      </w:r>
      <w:bookmarkStart w:id="13" w:name="_Toc109542370"/>
      <w:bookmarkStart w:id="14" w:name="_Toc487900352"/>
      <w:bookmarkStart w:id="15" w:name="_Toc109543190"/>
    </w:p>
    <w:p>
      <w:pPr>
        <w:spacing w:line="500" w:lineRule="exact"/>
        <w:rPr>
          <w:rFonts w:cs="仿宋_GB2312"/>
          <w:b/>
          <w:sz w:val="24"/>
        </w:rPr>
      </w:pPr>
      <w:r>
        <w:rPr>
          <w:rFonts w:hint="eastAsia" w:cs="仿宋_GB2312"/>
          <w:b/>
          <w:sz w:val="24"/>
        </w:rPr>
        <w:t>4.包装要求</w:t>
      </w:r>
      <w:bookmarkEnd w:id="13"/>
      <w:bookmarkEnd w:id="14"/>
      <w:bookmarkEnd w:id="15"/>
    </w:p>
    <w:p>
      <w:pPr>
        <w:spacing w:line="500" w:lineRule="exact"/>
        <w:ind w:left="1079" w:leftChars="1" w:hanging="1077" w:hangingChars="449"/>
        <w:rPr>
          <w:rFonts w:cs="仿宋_GB2312"/>
          <w:sz w:val="24"/>
        </w:rPr>
      </w:pPr>
      <w:r>
        <w:rPr>
          <w:rFonts w:hint="eastAsia" w:cs="仿宋_GB2312"/>
          <w:sz w:val="24"/>
        </w:rPr>
        <w:t>4.1      除合同另有约定外,中标供应商提供的全部货物,均应当采用本行业通用的方式进行包装，且该包装应当符合国家有关包装的法律、法规的规定。货物包装应当适应当远距离运输并且防潮、防震、防锈、防粗暴装卸，确保货物安全无损，运抵合同约定地点。由于货物包装不善所引起的货物锈蚀、损坏等损失均由中标供应商承担。</w:t>
      </w:r>
    </w:p>
    <w:p>
      <w:pPr>
        <w:spacing w:line="500" w:lineRule="exact"/>
        <w:ind w:left="1386" w:leftChars="1" w:hanging="1384" w:hangingChars="577"/>
        <w:rPr>
          <w:rFonts w:cs="仿宋_GB2312"/>
          <w:sz w:val="24"/>
        </w:rPr>
      </w:pPr>
      <w:r>
        <w:rPr>
          <w:rFonts w:hint="eastAsia" w:cs="仿宋_GB2312"/>
          <w:sz w:val="24"/>
        </w:rPr>
        <w:t>4.2      每件货物包装箱内应当附一份详细装箱单和质量合格证。</w:t>
      </w:r>
      <w:bookmarkStart w:id="16" w:name="_Toc487900353"/>
      <w:bookmarkStart w:id="17" w:name="_Toc109543191"/>
      <w:bookmarkStart w:id="18" w:name="_Toc109542371"/>
    </w:p>
    <w:p>
      <w:pPr>
        <w:spacing w:line="500" w:lineRule="exact"/>
        <w:rPr>
          <w:rFonts w:cs="仿宋_GB2312"/>
          <w:b/>
          <w:sz w:val="24"/>
        </w:rPr>
      </w:pPr>
      <w:r>
        <w:rPr>
          <w:rFonts w:hint="eastAsia" w:cs="仿宋_GB2312"/>
          <w:b/>
          <w:sz w:val="24"/>
        </w:rPr>
        <w:t>5.装运标志</w:t>
      </w:r>
      <w:bookmarkEnd w:id="16"/>
      <w:bookmarkEnd w:id="17"/>
      <w:bookmarkEnd w:id="18"/>
    </w:p>
    <w:p>
      <w:pPr>
        <w:spacing w:line="500" w:lineRule="exact"/>
        <w:ind w:left="1080" w:hanging="1080" w:hangingChars="450"/>
        <w:rPr>
          <w:rFonts w:cs="仿宋_GB2312"/>
          <w:sz w:val="24"/>
        </w:rPr>
      </w:pPr>
      <w:r>
        <w:rPr>
          <w:rFonts w:hint="eastAsia" w:cs="仿宋_GB2312"/>
          <w:sz w:val="24"/>
        </w:rPr>
        <w:t>5.1      中标供应商应当在每一货物包装箱的四侧用不褪色的油漆以醒目的中文字样做出下列标记：收货人，合同号，装运标志，收货人代号，目的地，货物名称、品目号和箱号，毛重／净重，尺寸(长×宽×高以厘米计)</w:t>
      </w:r>
    </w:p>
    <w:p>
      <w:pPr>
        <w:spacing w:line="500" w:lineRule="exact"/>
        <w:ind w:left="1080" w:hanging="1080" w:hangingChars="450"/>
        <w:rPr>
          <w:rFonts w:cs="仿宋_GB2312"/>
          <w:sz w:val="24"/>
        </w:rPr>
      </w:pPr>
      <w:r>
        <w:rPr>
          <w:rFonts w:hint="eastAsia" w:cs="仿宋_GB2312"/>
          <w:sz w:val="24"/>
        </w:rPr>
        <w:t>5.2      如果货物单件重量在2吨或2吨以上，中标供应商应当在每件包装箱的两侧用中文和适当的运输标记，为便装卸和搬运，标明“重心”和“吊装点”。根据货物的特点和运输的不同要求， 中标供应商应当在包装箱上清楚地标有“小心轻放”、“防潮”、 “勿倒置”等字样和其他适当的标志。</w:t>
      </w:r>
      <w:bookmarkStart w:id="19" w:name="_Toc109543192"/>
      <w:bookmarkStart w:id="20" w:name="_Toc487900354"/>
      <w:bookmarkStart w:id="21" w:name="_Toc109542372"/>
      <w:bookmarkStart w:id="22" w:name="_Ref467379536"/>
      <w:bookmarkStart w:id="23" w:name="_Ref467379542"/>
      <w:bookmarkStart w:id="24" w:name="_Ref467378541"/>
      <w:bookmarkStart w:id="25" w:name="_Ref467379527"/>
      <w:bookmarkStart w:id="26" w:name="_Ref467378591"/>
    </w:p>
    <w:p>
      <w:pPr>
        <w:spacing w:line="500" w:lineRule="exact"/>
        <w:rPr>
          <w:rFonts w:cs="仿宋_GB2312"/>
          <w:b/>
          <w:sz w:val="24"/>
        </w:rPr>
      </w:pPr>
      <w:r>
        <w:rPr>
          <w:rFonts w:hint="eastAsia" w:cs="仿宋_GB2312"/>
          <w:b/>
          <w:sz w:val="24"/>
        </w:rPr>
        <w:t>6 .交货方式</w:t>
      </w:r>
      <w:bookmarkEnd w:id="19"/>
      <w:bookmarkEnd w:id="20"/>
      <w:bookmarkEnd w:id="21"/>
      <w:bookmarkEnd w:id="22"/>
      <w:bookmarkEnd w:id="23"/>
      <w:bookmarkEnd w:id="24"/>
      <w:bookmarkEnd w:id="25"/>
      <w:bookmarkEnd w:id="26"/>
    </w:p>
    <w:p>
      <w:pPr>
        <w:spacing w:line="500" w:lineRule="exact"/>
        <w:ind w:left="1080" w:hanging="1080" w:hangingChars="450"/>
        <w:rPr>
          <w:rFonts w:cs="仿宋_GB2312"/>
          <w:sz w:val="24"/>
        </w:rPr>
      </w:pPr>
      <w:bookmarkStart w:id="27" w:name="_Ref467379657"/>
      <w:r>
        <w:rPr>
          <w:rFonts w:hint="eastAsia" w:cs="仿宋_GB2312"/>
          <w:sz w:val="24"/>
        </w:rPr>
        <w:t>6.1      交货方式为下列其中一种，具体交货方式在合同书中约定。</w:t>
      </w:r>
      <w:bookmarkEnd w:id="27"/>
    </w:p>
    <w:p>
      <w:pPr>
        <w:spacing w:line="500" w:lineRule="exact"/>
        <w:ind w:left="1080" w:hanging="1080" w:hangingChars="450"/>
        <w:rPr>
          <w:rFonts w:cs="仿宋_GB2312"/>
          <w:sz w:val="24"/>
        </w:rPr>
      </w:pPr>
      <w:r>
        <w:rPr>
          <w:rFonts w:hint="eastAsia" w:cs="仿宋_GB2312"/>
          <w:sz w:val="24"/>
        </w:rPr>
        <w:t>6.1.1    现场交货：中标供应商负责办理运输和保险，将货物运抵现场。有关运输和保险的一切费用由中标供应商承担。全部货物运抵现场的日期为交货日期。</w:t>
      </w:r>
    </w:p>
    <w:p>
      <w:pPr>
        <w:spacing w:line="500" w:lineRule="exact"/>
        <w:ind w:left="1080" w:hanging="1080" w:hangingChars="450"/>
        <w:rPr>
          <w:rFonts w:cs="仿宋_GB2312"/>
          <w:sz w:val="24"/>
        </w:rPr>
      </w:pPr>
      <w:r>
        <w:rPr>
          <w:rFonts w:hint="eastAsia" w:cs="仿宋_GB2312"/>
          <w:sz w:val="24"/>
        </w:rPr>
        <w:t>6.1.2    工厂交货：由中标供应商负责代办运输和保险事宜。运输费和保险费由采购人承担。运输部门出具收据的日期为交货日期。</w:t>
      </w:r>
    </w:p>
    <w:p>
      <w:pPr>
        <w:spacing w:line="500" w:lineRule="exact"/>
        <w:ind w:left="1080" w:hanging="1080" w:hangingChars="450"/>
        <w:rPr>
          <w:rFonts w:cs="仿宋_GB2312"/>
          <w:sz w:val="24"/>
        </w:rPr>
      </w:pPr>
      <w:r>
        <w:rPr>
          <w:rFonts w:hint="eastAsia" w:cs="仿宋_GB2312"/>
          <w:sz w:val="24"/>
        </w:rPr>
        <w:t>6.1.3    采购人自提货物：由采购人在合同规定地点自行办理提货。提单日期为交货日期。</w:t>
      </w:r>
    </w:p>
    <w:p>
      <w:pPr>
        <w:spacing w:line="500" w:lineRule="exact"/>
        <w:ind w:left="1080" w:hanging="1080" w:hangingChars="450"/>
        <w:rPr>
          <w:rFonts w:cs="仿宋_GB2312"/>
          <w:sz w:val="24"/>
        </w:rPr>
      </w:pPr>
      <w:r>
        <w:rPr>
          <w:rFonts w:hint="eastAsia" w:cs="仿宋_GB2312"/>
          <w:sz w:val="24"/>
        </w:rPr>
        <w:t>6.2      中标供应商应当在合同规定的交货期【7】天以前以邮件或传真形式将合同号、运输方式、货物名称、数量、包装箱件数、总毛重、总体积(立方米)和备妥交货日期通知采购人。同时中标供应商应当用挂号信或邮政快递将详细交货清单一式份包括合同号、运输方式、货物名称、规格、数量、总毛重、总体积(立方米)、包装箱件数和每个包装箱的尺寸(长×宽×高)、货物总价和备妥待交日期以及对货物在运输和仓储的特殊要求和注意事项通知采购人。</w:t>
      </w:r>
    </w:p>
    <w:p>
      <w:pPr>
        <w:tabs>
          <w:tab w:val="left" w:pos="720"/>
        </w:tabs>
        <w:spacing w:line="500" w:lineRule="exact"/>
        <w:ind w:left="1080" w:hanging="1080" w:hangingChars="450"/>
        <w:rPr>
          <w:rFonts w:cs="仿宋_GB2312"/>
          <w:sz w:val="24"/>
        </w:rPr>
      </w:pPr>
      <w:r>
        <w:rPr>
          <w:rFonts w:hint="eastAsia" w:cs="仿宋_GB2312"/>
          <w:sz w:val="24"/>
        </w:rPr>
        <w:t>6.3      在现场交货和工厂交货条件下，中标供应商装运的货物不应当超过合同规定的数量或重量。否则，中标供应商应当对超运部分引起的一切后果负责。</w:t>
      </w:r>
      <w:bookmarkStart w:id="28" w:name="_Toc487900355"/>
      <w:bookmarkStart w:id="29" w:name="_Toc109542373"/>
      <w:bookmarkStart w:id="30" w:name="_Toc109543193"/>
    </w:p>
    <w:p>
      <w:pPr>
        <w:spacing w:line="500" w:lineRule="exact"/>
        <w:rPr>
          <w:rFonts w:cs="仿宋_GB2312"/>
          <w:b/>
          <w:sz w:val="24"/>
        </w:rPr>
      </w:pPr>
      <w:r>
        <w:rPr>
          <w:rFonts w:hint="eastAsia" w:cs="仿宋_GB2312"/>
          <w:b/>
          <w:sz w:val="24"/>
        </w:rPr>
        <w:t>7 .装运通知</w:t>
      </w:r>
      <w:bookmarkEnd w:id="28"/>
      <w:bookmarkEnd w:id="29"/>
      <w:bookmarkEnd w:id="30"/>
    </w:p>
    <w:p>
      <w:pPr>
        <w:spacing w:line="500" w:lineRule="exact"/>
        <w:ind w:left="1080" w:hanging="1080" w:hangingChars="450"/>
        <w:rPr>
          <w:rFonts w:cs="仿宋_GB2312"/>
          <w:sz w:val="24"/>
        </w:rPr>
      </w:pPr>
      <w:r>
        <w:rPr>
          <w:rFonts w:hint="eastAsia" w:cs="仿宋_GB2312"/>
          <w:sz w:val="24"/>
        </w:rPr>
        <w:t>7.1      在现场交货和工厂交货条件下的货物，中标供应商通知采购人货物已备妥并准备运输的【2</w:t>
      </w:r>
      <w:r>
        <w:rPr>
          <w:rFonts w:cs="仿宋_GB2312"/>
          <w:sz w:val="24"/>
        </w:rPr>
        <w:t>4</w:t>
      </w:r>
      <w:r>
        <w:rPr>
          <w:rFonts w:hint="eastAsia" w:cs="仿宋_GB2312"/>
          <w:sz w:val="24"/>
        </w:rPr>
        <w:t>】小时内，应当将合同号、货物名称、数量、毛重、总体积(立方米)、发票金额、运输工具名称及装运日期，以电报或传真通知采购人。</w:t>
      </w:r>
    </w:p>
    <w:p>
      <w:pPr>
        <w:spacing w:line="500" w:lineRule="exact"/>
        <w:ind w:left="1080" w:hanging="1080" w:hangingChars="450"/>
        <w:rPr>
          <w:rFonts w:cs="仿宋_GB2312"/>
          <w:sz w:val="24"/>
        </w:rPr>
      </w:pPr>
      <w:r>
        <w:rPr>
          <w:rFonts w:hint="eastAsia" w:cs="仿宋_GB2312"/>
          <w:sz w:val="24"/>
        </w:rPr>
        <w:t>7.2      如因中标供应商延误将上述内容用电报或传真通知采购人的，由此引起的一切后果损失应当由中标供应商负责。</w:t>
      </w:r>
      <w:bookmarkStart w:id="31" w:name="_Ref467379793"/>
      <w:bookmarkStart w:id="32" w:name="_Toc487900357"/>
      <w:bookmarkStart w:id="33" w:name="_Ref467379807"/>
      <w:bookmarkStart w:id="34" w:name="_Toc109542374"/>
      <w:bookmarkStart w:id="35" w:name="_Toc109543194"/>
    </w:p>
    <w:p>
      <w:pPr>
        <w:spacing w:line="500" w:lineRule="exact"/>
        <w:rPr>
          <w:rFonts w:cs="仿宋_GB2312"/>
          <w:b/>
          <w:sz w:val="24"/>
        </w:rPr>
      </w:pPr>
      <w:r>
        <w:rPr>
          <w:rFonts w:hint="eastAsia" w:cs="仿宋_GB2312"/>
          <w:b/>
          <w:sz w:val="24"/>
        </w:rPr>
        <w:t>8 .付款条件</w:t>
      </w:r>
      <w:bookmarkEnd w:id="31"/>
      <w:bookmarkEnd w:id="32"/>
      <w:bookmarkEnd w:id="33"/>
      <w:bookmarkEnd w:id="34"/>
      <w:bookmarkEnd w:id="35"/>
    </w:p>
    <w:p>
      <w:pPr>
        <w:spacing w:line="500" w:lineRule="exact"/>
        <w:ind w:left="1080" w:hanging="1080" w:hangingChars="450"/>
        <w:rPr>
          <w:rFonts w:cs="仿宋_GB2312"/>
          <w:sz w:val="24"/>
        </w:rPr>
      </w:pPr>
      <w:r>
        <w:rPr>
          <w:rFonts w:hint="eastAsia" w:cs="仿宋_GB2312"/>
          <w:sz w:val="24"/>
        </w:rPr>
        <w:t>8.1      付款条件详见合同书中规定。</w:t>
      </w:r>
    </w:p>
    <w:p>
      <w:pPr>
        <w:spacing w:line="500" w:lineRule="exact"/>
        <w:rPr>
          <w:rFonts w:cs="仿宋_GB2312"/>
          <w:b/>
          <w:sz w:val="24"/>
        </w:rPr>
      </w:pPr>
      <w:bookmarkStart w:id="36" w:name="_Toc487900358"/>
      <w:bookmarkStart w:id="37" w:name="_Toc109542375"/>
      <w:bookmarkStart w:id="38" w:name="_Ref467379863"/>
      <w:bookmarkStart w:id="39" w:name="_Ref467379852"/>
      <w:bookmarkStart w:id="40" w:name="_Toc109543195"/>
      <w:bookmarkStart w:id="41" w:name="_Ref467379923"/>
      <w:r>
        <w:rPr>
          <w:rFonts w:hint="eastAsia" w:cs="仿宋_GB2312"/>
          <w:b/>
          <w:sz w:val="24"/>
        </w:rPr>
        <w:t>9 .技术资料</w:t>
      </w:r>
      <w:bookmarkEnd w:id="36"/>
      <w:bookmarkEnd w:id="37"/>
      <w:bookmarkEnd w:id="38"/>
      <w:bookmarkEnd w:id="39"/>
      <w:bookmarkEnd w:id="40"/>
      <w:bookmarkEnd w:id="41"/>
    </w:p>
    <w:p>
      <w:pPr>
        <w:spacing w:line="500" w:lineRule="exact"/>
        <w:ind w:left="1080" w:hanging="1080" w:hangingChars="450"/>
        <w:rPr>
          <w:rFonts w:cs="仿宋_GB2312"/>
          <w:sz w:val="24"/>
        </w:rPr>
      </w:pPr>
      <w:r>
        <w:rPr>
          <w:rFonts w:hint="eastAsia" w:cs="仿宋_GB2312"/>
          <w:sz w:val="24"/>
        </w:rPr>
        <w:t>9.1      合同项下技术资料(除合同书中另有约定外)以下列方式交付：</w:t>
      </w:r>
    </w:p>
    <w:p>
      <w:pPr>
        <w:spacing w:line="500" w:lineRule="exact"/>
        <w:ind w:left="1079" w:leftChars="514"/>
        <w:rPr>
          <w:rFonts w:cs="仿宋_GB2312"/>
          <w:sz w:val="24"/>
        </w:rPr>
      </w:pPr>
      <w:r>
        <w:rPr>
          <w:rFonts w:hint="eastAsia" w:cs="仿宋_GB2312"/>
          <w:sz w:val="24"/>
        </w:rPr>
        <w:t>本合同生效后【</w:t>
      </w:r>
      <w:r>
        <w:rPr>
          <w:rFonts w:cs="仿宋_GB2312"/>
          <w:sz w:val="24"/>
        </w:rPr>
        <w:t>7</w:t>
      </w:r>
      <w:r>
        <w:rPr>
          <w:rFonts w:hint="eastAsia" w:cs="仿宋_GB2312"/>
          <w:sz w:val="24"/>
        </w:rPr>
        <w:t>】天之内，中标供应商应当将每台设备和仪器的中文技术资料一套，如目录索引、图纸、操作手册、使用指南、维修指南或服务手册和示意图等相关资料寄给采购人。</w:t>
      </w:r>
    </w:p>
    <w:p>
      <w:pPr>
        <w:spacing w:line="500" w:lineRule="exact"/>
        <w:rPr>
          <w:rFonts w:cs="仿宋_GB2312"/>
          <w:sz w:val="24"/>
        </w:rPr>
      </w:pPr>
      <w:r>
        <w:rPr>
          <w:rFonts w:hint="eastAsia" w:cs="仿宋_GB2312"/>
          <w:sz w:val="24"/>
        </w:rPr>
        <w:t>9.2      另外一套完整的上述资料应当包装好随同货物一起发运。</w:t>
      </w:r>
    </w:p>
    <w:p>
      <w:pPr>
        <w:spacing w:line="500" w:lineRule="exact"/>
        <w:ind w:left="1080" w:hanging="1080" w:hangingChars="450"/>
        <w:rPr>
          <w:rFonts w:cs="仿宋_GB2312"/>
          <w:sz w:val="24"/>
        </w:rPr>
      </w:pPr>
      <w:r>
        <w:rPr>
          <w:rFonts w:hint="eastAsia" w:cs="仿宋_GB2312"/>
          <w:sz w:val="24"/>
        </w:rPr>
        <w:t>9.3      如果采购人确认中标供应商提供的技术资料不完整或在运输过程中丢失的，中标供应商将在收到采购人通知后【7】天内将这些资料免费寄给采购人。</w:t>
      </w:r>
      <w:bookmarkStart w:id="42" w:name="_Toc109542376"/>
      <w:bookmarkStart w:id="43" w:name="_Toc109543196"/>
      <w:bookmarkStart w:id="44" w:name="_Ref467379937"/>
      <w:bookmarkStart w:id="45" w:name="_Toc487900359"/>
      <w:bookmarkStart w:id="46" w:name="_Ref467379946"/>
      <w:bookmarkStart w:id="47" w:name="_Ref467377798"/>
      <w:bookmarkStart w:id="48" w:name="_Ref467377962"/>
    </w:p>
    <w:p>
      <w:pPr>
        <w:spacing w:line="500" w:lineRule="exact"/>
        <w:rPr>
          <w:rFonts w:cs="仿宋_GB2312"/>
          <w:b/>
          <w:sz w:val="24"/>
        </w:rPr>
      </w:pPr>
      <w:r>
        <w:rPr>
          <w:rFonts w:hint="eastAsia" w:cs="仿宋_GB2312"/>
          <w:b/>
          <w:sz w:val="24"/>
        </w:rPr>
        <w:t>10 .质量保证</w:t>
      </w:r>
      <w:bookmarkEnd w:id="42"/>
      <w:bookmarkEnd w:id="43"/>
      <w:bookmarkEnd w:id="44"/>
      <w:bookmarkEnd w:id="45"/>
      <w:bookmarkEnd w:id="46"/>
      <w:bookmarkEnd w:id="47"/>
      <w:bookmarkEnd w:id="48"/>
    </w:p>
    <w:p>
      <w:pPr>
        <w:spacing w:line="500" w:lineRule="exact"/>
        <w:ind w:left="1080" w:hanging="1080" w:hangingChars="450"/>
        <w:rPr>
          <w:rFonts w:cs="仿宋_GB2312"/>
          <w:sz w:val="24"/>
        </w:rPr>
      </w:pPr>
      <w:r>
        <w:rPr>
          <w:rFonts w:hint="eastAsia" w:cs="仿宋_GB2312"/>
          <w:sz w:val="24"/>
        </w:rPr>
        <w:t>10.1     中标供应商须保证货物是全新、未使用过的，并完全符合强制性的国家技术质量规范和合同规定的质量、规格、性能和技术规范等的要求。</w:t>
      </w:r>
    </w:p>
    <w:p>
      <w:pPr>
        <w:spacing w:line="500" w:lineRule="exact"/>
        <w:ind w:left="1080" w:hanging="1080" w:hangingChars="450"/>
        <w:rPr>
          <w:rFonts w:cs="仿宋_GB2312"/>
          <w:sz w:val="24"/>
        </w:rPr>
      </w:pPr>
      <w:r>
        <w:rPr>
          <w:rFonts w:hint="eastAsia" w:cs="仿宋_GB2312"/>
          <w:sz w:val="24"/>
        </w:rPr>
        <w:t>10.2     中标供应商须保证所提供的货物正确安装、正常运转和保养，在其使用寿命期内须具有符合质量要求和产品说明书的性能。</w:t>
      </w:r>
    </w:p>
    <w:p>
      <w:pPr>
        <w:spacing w:line="500" w:lineRule="exact"/>
        <w:ind w:left="1077" w:leftChars="513" w:firstLine="1"/>
        <w:rPr>
          <w:rFonts w:cs="仿宋_GB2312"/>
          <w:sz w:val="24"/>
        </w:rPr>
      </w:pPr>
      <w:r>
        <w:rPr>
          <w:rFonts w:hint="eastAsia" w:cs="仿宋_GB2312"/>
          <w:sz w:val="24"/>
        </w:rPr>
        <w:t>在货物质量保证期之内，中标供应商须对由于设计、工艺或材料的缺陷而发生的任何不足或故障负责，根据采购人的要求进行维修或更换，并承担因此发生的全部费用及采购人的损失。</w:t>
      </w:r>
    </w:p>
    <w:p>
      <w:pPr>
        <w:spacing w:line="500" w:lineRule="exact"/>
        <w:ind w:left="1080" w:hanging="1080" w:hangingChars="450"/>
        <w:rPr>
          <w:rFonts w:cs="仿宋_GB2312"/>
          <w:sz w:val="24"/>
        </w:rPr>
      </w:pPr>
      <w:r>
        <w:rPr>
          <w:rFonts w:hint="eastAsia" w:cs="仿宋_GB2312"/>
          <w:sz w:val="24"/>
        </w:rPr>
        <w:t>10.3     根据采购人按检验标准自己检验结果或委托有资质的相关质检机构的检验结果，发现货物的数量、质量、规格与合同不符；或者在质量保证期内，证实货物存在缺陷，包括潜在的缺陷或使用不符合要求的材料等，采购人应当尽快以书面形式通知中标供应商。中标供应商在收到通知后【2】天内应当根据采购人的要求免费修理或更换有缺陷的货物或部件，并承担因此发生的全部费用、采购人的损失，以及逾期交付责任。</w:t>
      </w:r>
    </w:p>
    <w:p>
      <w:pPr>
        <w:spacing w:line="500" w:lineRule="exact"/>
        <w:ind w:left="1078" w:leftChars="-1" w:hanging="1080" w:hangingChars="450"/>
        <w:rPr>
          <w:rFonts w:cs="仿宋_GB2312"/>
          <w:sz w:val="24"/>
        </w:rPr>
      </w:pPr>
      <w:r>
        <w:rPr>
          <w:rFonts w:hint="eastAsia" w:cs="仿宋_GB2312"/>
          <w:sz w:val="24"/>
        </w:rPr>
        <w:t>10.4     如果中标供应商在收到通知后【</w:t>
      </w:r>
      <w:r>
        <w:rPr>
          <w:rFonts w:cs="仿宋_GB2312"/>
          <w:sz w:val="24"/>
        </w:rPr>
        <w:t>3</w:t>
      </w:r>
      <w:r>
        <w:rPr>
          <w:rFonts w:hint="eastAsia" w:cs="仿宋_GB2312"/>
          <w:sz w:val="24"/>
        </w:rPr>
        <w:t>】天内没有弥补缺陷，采购人可以采取必要的补救措施，但由此引发的风险和费用将由中标供应商承担。</w:t>
      </w:r>
    </w:p>
    <w:p>
      <w:pPr>
        <w:spacing w:line="500" w:lineRule="exact"/>
        <w:ind w:left="1080" w:hanging="1080" w:hangingChars="450"/>
        <w:rPr>
          <w:rFonts w:cs="仿宋_GB2312"/>
          <w:sz w:val="24"/>
        </w:rPr>
      </w:pPr>
      <w:r>
        <w:rPr>
          <w:rFonts w:hint="eastAsia" w:cs="仿宋_GB2312"/>
          <w:sz w:val="24"/>
        </w:rPr>
        <w:t>10.5     除“合同书”中另有约定外，合同项下货物的质量保证期为货物通过最终验收之日起【2</w:t>
      </w:r>
      <w:r>
        <w:rPr>
          <w:rFonts w:cs="仿宋_GB2312"/>
          <w:sz w:val="24"/>
        </w:rPr>
        <w:t>4</w:t>
      </w:r>
      <w:r>
        <w:rPr>
          <w:rFonts w:hint="eastAsia" w:cs="仿宋_GB2312"/>
          <w:sz w:val="24"/>
        </w:rPr>
        <w:t>】个月。</w:t>
      </w:r>
      <w:bookmarkStart w:id="49" w:name="_Ref467378018"/>
      <w:bookmarkStart w:id="50" w:name="_Toc487900360"/>
      <w:bookmarkStart w:id="51" w:name="_Toc109542377"/>
      <w:bookmarkStart w:id="52" w:name="_Toc109543197"/>
    </w:p>
    <w:p>
      <w:pPr>
        <w:spacing w:line="500" w:lineRule="exact"/>
        <w:rPr>
          <w:rFonts w:cs="仿宋_GB2312"/>
          <w:b/>
          <w:sz w:val="24"/>
        </w:rPr>
      </w:pPr>
      <w:r>
        <w:rPr>
          <w:rFonts w:hint="eastAsia" w:cs="仿宋_GB2312"/>
          <w:b/>
          <w:sz w:val="24"/>
        </w:rPr>
        <w:t>11.检验</w:t>
      </w:r>
      <w:bookmarkEnd w:id="49"/>
      <w:bookmarkEnd w:id="50"/>
      <w:r>
        <w:rPr>
          <w:rFonts w:hint="eastAsia" w:cs="仿宋_GB2312"/>
          <w:b/>
          <w:sz w:val="24"/>
        </w:rPr>
        <w:t>和验收</w:t>
      </w:r>
      <w:bookmarkEnd w:id="51"/>
      <w:bookmarkEnd w:id="52"/>
    </w:p>
    <w:p>
      <w:pPr>
        <w:spacing w:line="500" w:lineRule="exact"/>
        <w:ind w:left="1080" w:hanging="1080" w:hangingChars="450"/>
        <w:rPr>
          <w:rFonts w:cs="仿宋_GB2312"/>
          <w:sz w:val="24"/>
        </w:rPr>
      </w:pPr>
      <w:r>
        <w:rPr>
          <w:rFonts w:hint="eastAsia" w:cs="仿宋_GB2312"/>
          <w:sz w:val="24"/>
        </w:rPr>
        <w:t>11.1     在交货前，中标供应商应当对货物的质量、规格、性能、数量和重量等进行详细而全面的检验，并出具证明货物符合合同规定的文件。该文件将作为申请付款单据的一部分，但有关质量、规格、性能、数量或重量的检验不应当视为最终检验。</w:t>
      </w:r>
    </w:p>
    <w:p>
      <w:pPr>
        <w:spacing w:line="500" w:lineRule="exact"/>
        <w:ind w:left="1080" w:hanging="1080" w:hangingChars="450"/>
        <w:rPr>
          <w:rFonts w:cs="仿宋_GB2312"/>
          <w:sz w:val="24"/>
        </w:rPr>
      </w:pPr>
      <w:r>
        <w:rPr>
          <w:rFonts w:hint="eastAsia" w:cs="仿宋_GB2312"/>
          <w:sz w:val="24"/>
        </w:rPr>
        <w:t>11.2     货物运抵合同约定的履行地点后，采购人应当在【1</w:t>
      </w:r>
      <w:r>
        <w:rPr>
          <w:rFonts w:cs="仿宋_GB2312"/>
          <w:sz w:val="24"/>
        </w:rPr>
        <w:t>5</w:t>
      </w:r>
      <w:r>
        <w:rPr>
          <w:rFonts w:hint="eastAsia" w:cs="仿宋_GB2312"/>
          <w:sz w:val="24"/>
        </w:rPr>
        <w:t>】日内组织验收，并制作验收备忘录，签署验收意见。</w:t>
      </w:r>
    </w:p>
    <w:p>
      <w:pPr>
        <w:spacing w:line="500" w:lineRule="exact"/>
        <w:ind w:left="1080" w:hanging="1080" w:hangingChars="450"/>
        <w:rPr>
          <w:rFonts w:cs="仿宋_GB2312"/>
          <w:sz w:val="24"/>
        </w:rPr>
      </w:pPr>
      <w:r>
        <w:rPr>
          <w:rFonts w:hint="eastAsia" w:cs="仿宋_GB2312"/>
          <w:sz w:val="24"/>
        </w:rPr>
        <w:t>11.3     采购人有在货物制造过程中派员监造的权利, 中标供应商有义务为采购人监造人员行使该权利提供方便。</w:t>
      </w:r>
    </w:p>
    <w:p>
      <w:pPr>
        <w:spacing w:line="500" w:lineRule="exact"/>
        <w:ind w:left="1080" w:hanging="1080" w:hangingChars="450"/>
        <w:rPr>
          <w:rFonts w:cs="仿宋_GB2312"/>
          <w:sz w:val="24"/>
        </w:rPr>
      </w:pPr>
      <w:r>
        <w:rPr>
          <w:rFonts w:hint="eastAsia" w:cs="仿宋_GB2312"/>
          <w:sz w:val="24"/>
        </w:rPr>
        <w:t>11.4     制造厂对所供货物进行机械运转试验和性能试验时，中标供应商必须提前通知采购人。</w:t>
      </w:r>
      <w:bookmarkStart w:id="53" w:name="_Toc109542378"/>
      <w:bookmarkStart w:id="54" w:name="_Toc487900361"/>
      <w:bookmarkStart w:id="55" w:name="_Toc109543198"/>
    </w:p>
    <w:p>
      <w:pPr>
        <w:spacing w:line="500" w:lineRule="exact"/>
        <w:rPr>
          <w:rFonts w:cs="仿宋_GB2312"/>
          <w:b/>
          <w:sz w:val="24"/>
        </w:rPr>
      </w:pPr>
      <w:r>
        <w:rPr>
          <w:rFonts w:hint="eastAsia" w:cs="仿宋_GB2312"/>
          <w:b/>
          <w:sz w:val="24"/>
        </w:rPr>
        <w:t>12 .索赔</w:t>
      </w:r>
      <w:bookmarkEnd w:id="53"/>
      <w:bookmarkEnd w:id="54"/>
      <w:bookmarkEnd w:id="55"/>
    </w:p>
    <w:p>
      <w:pPr>
        <w:spacing w:line="500" w:lineRule="exact"/>
        <w:ind w:left="1080" w:hanging="1080" w:hangingChars="450"/>
        <w:rPr>
          <w:rFonts w:cs="仿宋_GB2312"/>
          <w:sz w:val="24"/>
        </w:rPr>
      </w:pPr>
      <w:r>
        <w:rPr>
          <w:rFonts w:hint="eastAsia" w:cs="仿宋_GB2312"/>
          <w:sz w:val="24"/>
        </w:rPr>
        <w:t>12.1     如果货物的质量、规格、数量、重量等与合同不符，或在第10.5条规定的质量保证期内证实货物存有缺陷，包括潜在的缺陷或使用不符合要求的材料等，采购人有权根据有资质的权威质检机构的检验结果向中标供应商提出索赔，如责任应当由保险公司或运输部门承担，则中标供应商仍应向采购人赔偿，并在赔偿后向责任方索赔。</w:t>
      </w:r>
    </w:p>
    <w:p>
      <w:pPr>
        <w:spacing w:line="500" w:lineRule="exact"/>
        <w:ind w:left="1080" w:hanging="1080" w:hangingChars="450"/>
        <w:rPr>
          <w:rFonts w:cs="仿宋_GB2312"/>
          <w:sz w:val="24"/>
        </w:rPr>
      </w:pPr>
      <w:bookmarkStart w:id="56" w:name="_Ref467378076"/>
      <w:r>
        <w:rPr>
          <w:rFonts w:hint="eastAsia" w:cs="仿宋_GB2312"/>
          <w:sz w:val="24"/>
        </w:rPr>
        <w:t>12.2     在根据合同第10条和第11条规定的检验期和质量保证期内，如果中标供应商对采购人提出的索赔负有责任，中标供应商应当按照采购人同意的下列一种或多种方式解决索赔事宜：</w:t>
      </w:r>
      <w:bookmarkEnd w:id="56"/>
    </w:p>
    <w:p>
      <w:pPr>
        <w:spacing w:line="500" w:lineRule="exact"/>
        <w:ind w:left="1080" w:hanging="1080" w:hangingChars="450"/>
        <w:rPr>
          <w:rFonts w:cs="仿宋_GB2312"/>
          <w:sz w:val="24"/>
        </w:rPr>
      </w:pPr>
      <w:r>
        <w:rPr>
          <w:rFonts w:hint="eastAsia" w:cs="仿宋_GB2312"/>
          <w:sz w:val="24"/>
        </w:rPr>
        <w:t>12.2.1   采购人要求退货，中标供应商应当按合同规定将货款退还给采购人，并承担由此发生的一切损失和费用，包括利息、银行手续费、运费、保险费、检验费、仓储费、装卸费以及为保护退回货物所需的其他必要费用。</w:t>
      </w:r>
    </w:p>
    <w:p>
      <w:pPr>
        <w:spacing w:line="500" w:lineRule="exact"/>
        <w:ind w:left="1080" w:hanging="1080" w:hangingChars="450"/>
        <w:rPr>
          <w:rFonts w:cs="仿宋_GB2312"/>
          <w:sz w:val="24"/>
        </w:rPr>
      </w:pPr>
      <w:r>
        <w:rPr>
          <w:rFonts w:hint="eastAsia" w:cs="仿宋_GB2312"/>
          <w:sz w:val="24"/>
        </w:rPr>
        <w:t>12.2.2   根据货物低劣程度、损坏程度以及采购人所遭受损失的数额，经双方商定降低货物的价格，或由有权的部门评估，货物价格以降低后的价格或评估价格为准。</w:t>
      </w:r>
    </w:p>
    <w:p>
      <w:pPr>
        <w:spacing w:line="500" w:lineRule="exact"/>
        <w:ind w:left="1080" w:hanging="1080" w:hangingChars="450"/>
        <w:rPr>
          <w:rFonts w:cs="仿宋_GB2312"/>
          <w:sz w:val="24"/>
        </w:rPr>
      </w:pPr>
      <w:r>
        <w:rPr>
          <w:rFonts w:hint="eastAsia" w:cs="仿宋_GB2312"/>
          <w:sz w:val="24"/>
        </w:rPr>
        <w:t>12.2.3   使用符合技术规格、质量和性能要求的新零件、部件或货物更换有缺陷的部分或修补缺陷部分的，中标供应商应当承担因此发生的一切费用、风险和逾期交付责任。同时，中标供应商应当按合同第10条规定，相应地延长修理或更换部件的质量保证期。</w:t>
      </w:r>
    </w:p>
    <w:p>
      <w:pPr>
        <w:spacing w:line="500" w:lineRule="exact"/>
        <w:ind w:left="1080" w:hanging="1080" w:hangingChars="450"/>
        <w:rPr>
          <w:rFonts w:cs="仿宋_GB2312"/>
          <w:sz w:val="24"/>
        </w:rPr>
      </w:pPr>
      <w:r>
        <w:rPr>
          <w:rFonts w:hint="eastAsia" w:cs="仿宋_GB2312"/>
          <w:sz w:val="24"/>
        </w:rPr>
        <w:t>12.3     如果在采购人发出索赔通知后【7】天内，中标供应商未作答复，上述索赔应当视为已被中标供应商接受。如中标供应商未能在采购人提出索赔通知后【7】天内或采购人同意的更长时间内，按照本合同第12.2条规定的任何一种方法解决索赔事宜，采购人将从合同款或从中标供应商开具的履约保证金保函中扣回索赔金额。如果这些金额不足以补偿索赔金额，采购人有权向中标供应商提出不足部分的补偿。</w:t>
      </w:r>
      <w:bookmarkStart w:id="57" w:name="_Toc109543199"/>
      <w:bookmarkStart w:id="58" w:name="_Toc109542379"/>
      <w:bookmarkStart w:id="59" w:name="_Toc487900362"/>
    </w:p>
    <w:p>
      <w:pPr>
        <w:spacing w:line="500" w:lineRule="exact"/>
        <w:rPr>
          <w:rFonts w:cs="仿宋_GB2312"/>
          <w:b/>
          <w:sz w:val="24"/>
        </w:rPr>
      </w:pPr>
      <w:r>
        <w:rPr>
          <w:rFonts w:hint="eastAsia" w:cs="仿宋_GB2312"/>
          <w:b/>
          <w:sz w:val="24"/>
        </w:rPr>
        <w:t>13 .延迟交货</w:t>
      </w:r>
      <w:bookmarkEnd w:id="57"/>
      <w:bookmarkEnd w:id="58"/>
      <w:bookmarkEnd w:id="59"/>
    </w:p>
    <w:p>
      <w:pPr>
        <w:spacing w:line="500" w:lineRule="exact"/>
        <w:ind w:left="1078" w:hanging="1077" w:hangingChars="449"/>
        <w:rPr>
          <w:rFonts w:cs="仿宋_GB2312"/>
          <w:sz w:val="24"/>
        </w:rPr>
      </w:pPr>
      <w:r>
        <w:rPr>
          <w:rFonts w:hint="eastAsia" w:cs="仿宋_GB2312"/>
          <w:sz w:val="24"/>
        </w:rPr>
        <w:t>13.1     中标供应商应当按照本合同规定的时间交货和提供服务。</w:t>
      </w:r>
    </w:p>
    <w:p>
      <w:pPr>
        <w:spacing w:line="500" w:lineRule="exact"/>
        <w:ind w:left="1080" w:hanging="1080" w:hangingChars="450"/>
        <w:rPr>
          <w:rFonts w:cs="仿宋_GB2312"/>
          <w:sz w:val="24"/>
        </w:rPr>
      </w:pPr>
      <w:r>
        <w:rPr>
          <w:rFonts w:hint="eastAsia" w:cs="仿宋_GB2312"/>
          <w:sz w:val="24"/>
        </w:rPr>
        <w:t>13.2     如果中标供应商无正当理由迟延交货，应承担逾期交付的违约责任，采购人有权提出违约损失赔偿和解除合同。</w:t>
      </w:r>
    </w:p>
    <w:p>
      <w:pPr>
        <w:spacing w:line="500" w:lineRule="exact"/>
        <w:ind w:left="1080" w:hanging="1080" w:hangingChars="450"/>
        <w:rPr>
          <w:rFonts w:cs="仿宋_GB2312"/>
          <w:sz w:val="24"/>
        </w:rPr>
      </w:pPr>
      <w:r>
        <w:rPr>
          <w:rFonts w:hint="eastAsia" w:cs="仿宋_GB2312"/>
          <w:sz w:val="24"/>
        </w:rPr>
        <w:t>13.3     在履行合同过程中，如果中标供应商遇到不能按时交货和提供服务的情况，应当及时以书面形式将不能按时交货的理由、预期延误时间通知采购人。采购人收到中标供应商通知后，认为其理由正当的，可以酌情延长交货时间。</w:t>
      </w:r>
      <w:bookmarkStart w:id="60" w:name="_Toc109542380"/>
      <w:bookmarkStart w:id="61" w:name="_Toc109543200"/>
      <w:bookmarkStart w:id="62" w:name="_Toc487900363"/>
    </w:p>
    <w:p>
      <w:pPr>
        <w:spacing w:line="500" w:lineRule="exact"/>
        <w:rPr>
          <w:rFonts w:cs="仿宋_GB2312"/>
          <w:b/>
          <w:sz w:val="24"/>
        </w:rPr>
      </w:pPr>
      <w:r>
        <w:rPr>
          <w:rFonts w:hint="eastAsia" w:cs="仿宋_GB2312"/>
          <w:b/>
          <w:sz w:val="24"/>
        </w:rPr>
        <w:t>14 .违约赔偿</w:t>
      </w:r>
      <w:bookmarkEnd w:id="60"/>
      <w:bookmarkEnd w:id="61"/>
      <w:bookmarkEnd w:id="62"/>
    </w:p>
    <w:p>
      <w:pPr>
        <w:spacing w:line="500" w:lineRule="exact"/>
        <w:ind w:left="1080" w:hanging="1080" w:hangingChars="450"/>
        <w:rPr>
          <w:rFonts w:cs="仿宋_GB2312"/>
          <w:sz w:val="24"/>
        </w:rPr>
      </w:pPr>
      <w:r>
        <w:rPr>
          <w:rFonts w:hint="eastAsia" w:cs="仿宋_GB2312"/>
          <w:sz w:val="24"/>
        </w:rPr>
        <w:t>14.1     除合同第15条规定外，如果中标供应商没有按照合同规定的时间交货并提供服务，采购人可以要求中标供应商承担逾期交付的违约责任并支付违约金。违约金按每周迟交货物或未提供服务交货价的0.5%计收，但违约金总额不超过合同总价的【1</w:t>
      </w:r>
      <w:r>
        <w:rPr>
          <w:rFonts w:cs="仿宋_GB2312"/>
          <w:sz w:val="24"/>
        </w:rPr>
        <w:t>0</w:t>
      </w:r>
      <w:r>
        <w:rPr>
          <w:rFonts w:hint="eastAsia" w:cs="仿宋_GB2312"/>
          <w:sz w:val="24"/>
        </w:rPr>
        <w:t>】%。一周按７天计算，不足７天按一周计算。逾期超过【3</w:t>
      </w:r>
      <w:r>
        <w:rPr>
          <w:rFonts w:cs="仿宋_GB2312"/>
          <w:sz w:val="24"/>
        </w:rPr>
        <w:t>0</w:t>
      </w:r>
      <w:r>
        <w:rPr>
          <w:rFonts w:hint="eastAsia" w:cs="仿宋_GB2312"/>
          <w:sz w:val="24"/>
        </w:rPr>
        <w:t>】天，采购人有权解除合同，中标供应商须按照采购人要求退还采购人已经支付的货款，并按合同总价的【1</w:t>
      </w:r>
      <w:r>
        <w:rPr>
          <w:rFonts w:cs="仿宋_GB2312"/>
          <w:sz w:val="24"/>
        </w:rPr>
        <w:t>0</w:t>
      </w:r>
      <w:r>
        <w:rPr>
          <w:rFonts w:hint="eastAsia" w:cs="仿宋_GB2312"/>
          <w:sz w:val="24"/>
        </w:rPr>
        <w:t>】%向采购人支付违约金。</w:t>
      </w:r>
      <w:bookmarkStart w:id="63" w:name="_Toc109542381"/>
      <w:bookmarkStart w:id="64" w:name="_Toc109543201"/>
      <w:bookmarkStart w:id="65" w:name="_Toc487900364"/>
      <w:bookmarkStart w:id="66" w:name="_Ref467378121"/>
    </w:p>
    <w:p>
      <w:pPr>
        <w:spacing w:line="500" w:lineRule="exact"/>
        <w:ind w:left="1080" w:hanging="1080" w:hangingChars="450"/>
        <w:rPr>
          <w:rFonts w:cs="仿宋_GB2312"/>
          <w:sz w:val="24"/>
        </w:rPr>
      </w:pPr>
      <w:r>
        <w:rPr>
          <w:rFonts w:hint="eastAsia" w:cs="仿宋_GB2312"/>
          <w:sz w:val="24"/>
        </w:rPr>
        <w:t>1</w:t>
      </w:r>
      <w:r>
        <w:rPr>
          <w:rFonts w:cs="仿宋_GB2312"/>
          <w:sz w:val="24"/>
        </w:rPr>
        <w:t>4</w:t>
      </w:r>
      <w:r>
        <w:rPr>
          <w:rFonts w:hint="eastAsia" w:cs="仿宋_GB2312"/>
          <w:sz w:val="24"/>
        </w:rPr>
        <w:t>.</w:t>
      </w:r>
      <w:r>
        <w:rPr>
          <w:rFonts w:cs="仿宋_GB2312"/>
          <w:sz w:val="24"/>
        </w:rPr>
        <w:t xml:space="preserve">2     </w:t>
      </w:r>
      <w:r>
        <w:rPr>
          <w:rFonts w:hint="eastAsia" w:cs="仿宋_GB2312"/>
          <w:sz w:val="24"/>
        </w:rPr>
        <w:t>因中标供应商违约导致采购人解除合同的，中标供应商须按照采购人要求退还采购人已经支付的货款，并按合同总价的【1</w:t>
      </w:r>
      <w:r>
        <w:rPr>
          <w:rFonts w:cs="仿宋_GB2312"/>
          <w:sz w:val="24"/>
        </w:rPr>
        <w:t>0</w:t>
      </w:r>
      <w:r>
        <w:rPr>
          <w:rFonts w:hint="eastAsia" w:cs="仿宋_GB2312"/>
          <w:sz w:val="24"/>
        </w:rPr>
        <w:t>】%向采购人支付违约金，违约金如不足以弥补采购人损失的，中标供应商须继续赔偿。</w:t>
      </w:r>
    </w:p>
    <w:p>
      <w:pPr>
        <w:pStyle w:val="2"/>
        <w:spacing w:line="500" w:lineRule="exact"/>
        <w:ind w:left="1200" w:hanging="1200" w:hangingChars="500"/>
        <w:rPr>
          <w:rFonts w:cs="仿宋_GB2312"/>
          <w:sz w:val="24"/>
        </w:rPr>
      </w:pPr>
      <w:r>
        <w:rPr>
          <w:rFonts w:hint="eastAsia" w:cs="仿宋_GB2312"/>
          <w:sz w:val="24"/>
        </w:rPr>
        <w:t>1</w:t>
      </w:r>
      <w:r>
        <w:rPr>
          <w:rFonts w:cs="仿宋_GB2312"/>
          <w:sz w:val="24"/>
        </w:rPr>
        <w:t>4</w:t>
      </w:r>
      <w:r>
        <w:rPr>
          <w:rFonts w:hint="eastAsia" w:cs="仿宋_GB2312"/>
          <w:sz w:val="24"/>
        </w:rPr>
        <w:t>.</w:t>
      </w:r>
      <w:r>
        <w:rPr>
          <w:rFonts w:cs="仿宋_GB2312"/>
          <w:sz w:val="24"/>
        </w:rPr>
        <w:t>3</w:t>
      </w:r>
      <w:r>
        <w:rPr>
          <w:rFonts w:hint="eastAsia" w:cs="仿宋_GB2312"/>
          <w:sz w:val="24"/>
        </w:rPr>
        <w:t xml:space="preserve">     采购人无故延迟付款的，每逾期一日，按逾期金额的0.5%向乙方支付违约金，</w:t>
      </w:r>
    </w:p>
    <w:p>
      <w:pPr>
        <w:pStyle w:val="2"/>
        <w:spacing w:line="500" w:lineRule="exact"/>
        <w:ind w:left="1197" w:leftChars="513" w:hanging="120" w:hangingChars="50"/>
      </w:pPr>
      <w:r>
        <w:rPr>
          <w:rFonts w:hint="eastAsia" w:cs="仿宋_GB2312"/>
          <w:sz w:val="24"/>
        </w:rPr>
        <w:t>但违约金总额不超过合同总价的【1</w:t>
      </w:r>
      <w:r>
        <w:rPr>
          <w:rFonts w:cs="仿宋_GB2312"/>
          <w:sz w:val="24"/>
        </w:rPr>
        <w:t>0</w:t>
      </w:r>
      <w:r>
        <w:rPr>
          <w:rFonts w:hint="eastAsia" w:cs="仿宋_GB2312"/>
          <w:sz w:val="24"/>
        </w:rPr>
        <w:t>】%。</w:t>
      </w:r>
    </w:p>
    <w:p>
      <w:pPr>
        <w:spacing w:line="500" w:lineRule="exact"/>
        <w:rPr>
          <w:rFonts w:cs="仿宋_GB2312"/>
          <w:b/>
          <w:sz w:val="24"/>
        </w:rPr>
      </w:pPr>
      <w:r>
        <w:rPr>
          <w:rFonts w:hint="eastAsia" w:cs="仿宋_GB2312"/>
          <w:b/>
          <w:sz w:val="24"/>
        </w:rPr>
        <w:t>15 .不可抗力</w:t>
      </w:r>
      <w:bookmarkEnd w:id="63"/>
      <w:bookmarkEnd w:id="64"/>
      <w:bookmarkEnd w:id="65"/>
      <w:bookmarkEnd w:id="66"/>
    </w:p>
    <w:p>
      <w:pPr>
        <w:spacing w:line="500" w:lineRule="exact"/>
        <w:ind w:left="1080" w:hanging="1080" w:hangingChars="450"/>
        <w:rPr>
          <w:rFonts w:cs="仿宋_GB2312"/>
          <w:sz w:val="24"/>
        </w:rPr>
      </w:pPr>
      <w:r>
        <w:rPr>
          <w:rFonts w:hint="eastAsia" w:cs="仿宋_GB2312"/>
          <w:sz w:val="24"/>
        </w:rPr>
        <w:t>15.1     如果双方中任何一方遭遇法律规定的不可抗力，致使合同履行受阻时，履行合同的期限应当予以延长，延长的期限应当相当于不可抗力所影响的时间。</w:t>
      </w:r>
    </w:p>
    <w:p>
      <w:pPr>
        <w:spacing w:line="500" w:lineRule="exact"/>
        <w:ind w:left="1080" w:hanging="1080" w:hangingChars="450"/>
        <w:rPr>
          <w:rFonts w:cs="仿宋_GB2312"/>
          <w:sz w:val="24"/>
        </w:rPr>
      </w:pPr>
      <w:r>
        <w:rPr>
          <w:rFonts w:hint="eastAsia" w:cs="仿宋_GB2312"/>
          <w:sz w:val="24"/>
        </w:rPr>
        <w:t>15.2     受事故影响的一方应当在不可抗力的事故发生后尽快书面形式通知另一方，并在有关部门出具证明证明文件后及时送达另一方。</w:t>
      </w:r>
    </w:p>
    <w:p>
      <w:pPr>
        <w:spacing w:line="500" w:lineRule="exact"/>
        <w:ind w:left="1078" w:hanging="1077" w:hangingChars="449"/>
        <w:rPr>
          <w:rFonts w:cs="仿宋_GB2312"/>
          <w:sz w:val="24"/>
        </w:rPr>
      </w:pPr>
      <w:r>
        <w:rPr>
          <w:rFonts w:hint="eastAsia" w:cs="仿宋_GB2312"/>
          <w:sz w:val="24"/>
        </w:rPr>
        <w:t>15.3</w:t>
      </w:r>
      <w:r>
        <w:rPr>
          <w:rFonts w:hint="eastAsia" w:cs="仿宋_GB2312"/>
          <w:sz w:val="24"/>
        </w:rPr>
        <w:tab/>
      </w:r>
      <w:r>
        <w:rPr>
          <w:rFonts w:hint="eastAsia" w:cs="仿宋_GB2312"/>
          <w:sz w:val="24"/>
        </w:rPr>
        <w:t>不可抗力使合同的某些内容有变更必要的， 双方可通过协商达成进一步履行合同的协议，因不可抗力致使合同不能履行的，合同终止。</w:t>
      </w:r>
      <w:bookmarkStart w:id="67" w:name="_Toc487900365"/>
      <w:bookmarkStart w:id="68" w:name="_Toc109542382"/>
      <w:bookmarkStart w:id="69" w:name="_Toc109543202"/>
    </w:p>
    <w:p>
      <w:pPr>
        <w:spacing w:line="500" w:lineRule="exact"/>
        <w:rPr>
          <w:rFonts w:cs="仿宋_GB2312"/>
          <w:b/>
          <w:sz w:val="24"/>
        </w:rPr>
      </w:pPr>
      <w:r>
        <w:rPr>
          <w:rFonts w:hint="eastAsia" w:cs="仿宋_GB2312"/>
          <w:b/>
          <w:sz w:val="24"/>
        </w:rPr>
        <w:t>16.税费</w:t>
      </w:r>
      <w:bookmarkEnd w:id="67"/>
      <w:bookmarkEnd w:id="68"/>
      <w:bookmarkEnd w:id="69"/>
    </w:p>
    <w:p>
      <w:pPr>
        <w:spacing w:line="500" w:lineRule="exact"/>
        <w:ind w:left="1080" w:hanging="1080" w:hangingChars="450"/>
        <w:rPr>
          <w:rFonts w:cs="仿宋_GB2312"/>
          <w:sz w:val="24"/>
        </w:rPr>
      </w:pPr>
      <w:r>
        <w:rPr>
          <w:rFonts w:hint="eastAsia" w:cs="仿宋_GB2312"/>
          <w:sz w:val="24"/>
        </w:rPr>
        <w:t>16.1     与本合同有关的一切税费均适用中华人民共和国法律的相关规定。</w:t>
      </w:r>
      <w:bookmarkStart w:id="70" w:name="_Hlt487900425"/>
      <w:bookmarkEnd w:id="70"/>
      <w:bookmarkStart w:id="71" w:name="_Toc487900366"/>
      <w:bookmarkStart w:id="72" w:name="_Toc109542383"/>
      <w:bookmarkStart w:id="73" w:name="_Toc109543203"/>
    </w:p>
    <w:p>
      <w:pPr>
        <w:spacing w:line="500" w:lineRule="exact"/>
        <w:rPr>
          <w:rFonts w:cs="仿宋_GB2312"/>
          <w:b/>
          <w:sz w:val="24"/>
        </w:rPr>
      </w:pPr>
      <w:r>
        <w:rPr>
          <w:rFonts w:hint="eastAsia" w:cs="仿宋_GB2312"/>
          <w:b/>
          <w:sz w:val="24"/>
        </w:rPr>
        <w:t>17</w:t>
      </w:r>
      <w:bookmarkEnd w:id="71"/>
      <w:r>
        <w:rPr>
          <w:rFonts w:hint="eastAsia" w:cs="仿宋_GB2312"/>
          <w:b/>
          <w:sz w:val="24"/>
        </w:rPr>
        <w:t>.合同争议的解决</w:t>
      </w:r>
      <w:bookmarkEnd w:id="72"/>
      <w:bookmarkEnd w:id="73"/>
    </w:p>
    <w:p>
      <w:pPr>
        <w:spacing w:line="500" w:lineRule="exact"/>
        <w:ind w:left="1080" w:hanging="1080" w:hangingChars="450"/>
        <w:rPr>
          <w:rFonts w:cs="仿宋_GB2312"/>
          <w:sz w:val="24"/>
        </w:rPr>
      </w:pPr>
      <w:bookmarkStart w:id="74" w:name="_Toc109542384"/>
      <w:bookmarkStart w:id="75" w:name="_Toc109543204"/>
      <w:bookmarkStart w:id="76" w:name="_Toc487900367"/>
      <w:r>
        <w:rPr>
          <w:rFonts w:hint="eastAsia" w:cs="仿宋_GB2312"/>
          <w:sz w:val="24"/>
        </w:rPr>
        <w:t>17.1     因本合同发生的或与本合同有关的一切争议，甲、乙双方应当友好协商解决；未能通过友好协商解决的争议，甲、乙双方选择如下第</w:t>
      </w:r>
      <w:r>
        <w:rPr>
          <w:rFonts w:hint="eastAsia" w:cs="仿宋_GB2312"/>
          <w:sz w:val="24"/>
          <w:u w:val="single"/>
        </w:rPr>
        <w:t xml:space="preserve"> （</w:t>
      </w:r>
      <w:r>
        <w:rPr>
          <w:rFonts w:cs="仿宋_GB2312"/>
          <w:sz w:val="24"/>
          <w:u w:val="single"/>
        </w:rPr>
        <w:t>1</w:t>
      </w:r>
      <w:r>
        <w:rPr>
          <w:rFonts w:hint="eastAsia" w:cs="仿宋_GB2312"/>
          <w:sz w:val="24"/>
          <w:u w:val="single"/>
        </w:rPr>
        <w:t xml:space="preserve">） </w:t>
      </w:r>
      <w:r>
        <w:rPr>
          <w:rFonts w:hint="eastAsia" w:cs="仿宋_GB2312"/>
          <w:sz w:val="24"/>
        </w:rPr>
        <w:t>种争议解决方式：</w:t>
      </w:r>
    </w:p>
    <w:p>
      <w:pPr>
        <w:spacing w:line="500" w:lineRule="exact"/>
        <w:ind w:left="1557" w:leftChars="513" w:hanging="480" w:hangingChars="200"/>
        <w:rPr>
          <w:rFonts w:cs="仿宋_GB2312"/>
          <w:sz w:val="24"/>
        </w:rPr>
      </w:pPr>
      <w:r>
        <w:rPr>
          <w:rFonts w:hint="eastAsia" w:cs="仿宋_GB2312"/>
          <w:sz w:val="24"/>
        </w:rPr>
        <w:t>（1）将争议提交北京仲裁委员会按其届时有效的仲裁规则进行仲裁，仲裁裁决是终局的，对双方都有约束力。</w:t>
      </w:r>
    </w:p>
    <w:p>
      <w:pPr>
        <w:spacing w:line="500" w:lineRule="exact"/>
        <w:ind w:firstLine="1080" w:firstLineChars="450"/>
        <w:rPr>
          <w:rFonts w:cs="仿宋_GB2312"/>
          <w:b/>
          <w:sz w:val="24"/>
        </w:rPr>
      </w:pPr>
      <w:r>
        <w:rPr>
          <w:rFonts w:hint="eastAsia" w:cs="仿宋_GB2312"/>
          <w:sz w:val="24"/>
        </w:rPr>
        <w:t>（2）向</w:t>
      </w:r>
      <w:r>
        <w:rPr>
          <w:rFonts w:hint="eastAsia" w:cs="仿宋_GB2312"/>
          <w:sz w:val="24"/>
          <w:u w:val="single"/>
        </w:rPr>
        <w:t xml:space="preserve">  采购人    </w:t>
      </w:r>
      <w:r>
        <w:rPr>
          <w:rFonts w:hint="eastAsia" w:cs="仿宋_GB2312"/>
          <w:sz w:val="24"/>
        </w:rPr>
        <w:t>所在地的人民法院提起诉讼。</w:t>
      </w:r>
    </w:p>
    <w:p>
      <w:pPr>
        <w:spacing w:line="500" w:lineRule="exact"/>
        <w:rPr>
          <w:rFonts w:cs="仿宋_GB2312"/>
          <w:b/>
          <w:sz w:val="24"/>
        </w:rPr>
      </w:pPr>
      <w:r>
        <w:rPr>
          <w:rFonts w:hint="eastAsia" w:cs="仿宋_GB2312"/>
          <w:b/>
          <w:sz w:val="24"/>
        </w:rPr>
        <w:t>18 .因违约解除合同</w:t>
      </w:r>
      <w:bookmarkEnd w:id="74"/>
      <w:bookmarkEnd w:id="75"/>
      <w:bookmarkEnd w:id="76"/>
    </w:p>
    <w:p>
      <w:pPr>
        <w:spacing w:line="500" w:lineRule="exact"/>
        <w:ind w:left="850" w:hanging="849" w:hangingChars="354"/>
        <w:rPr>
          <w:rFonts w:cs="仿宋_GB2312"/>
          <w:sz w:val="24"/>
        </w:rPr>
      </w:pPr>
      <w:bookmarkStart w:id="77" w:name="_Ref467378234"/>
      <w:r>
        <w:rPr>
          <w:rFonts w:hint="eastAsia" w:cs="仿宋_GB2312"/>
          <w:sz w:val="24"/>
        </w:rPr>
        <w:t>18.1    在中标供应商违约或出现下列情形的情况下，采购人可以向中标供应商发出书面</w:t>
      </w:r>
    </w:p>
    <w:p>
      <w:pPr>
        <w:spacing w:line="500" w:lineRule="exact"/>
        <w:ind w:left="1078" w:leftChars="456" w:hanging="120" w:hangingChars="50"/>
        <w:rPr>
          <w:rFonts w:cs="仿宋_GB2312"/>
          <w:sz w:val="24"/>
        </w:rPr>
      </w:pPr>
      <w:r>
        <w:rPr>
          <w:rFonts w:hint="eastAsia" w:cs="仿宋_GB2312"/>
          <w:sz w:val="24"/>
        </w:rPr>
        <w:t>通知，部分或全部解除合同。同时保留向中标供应商追诉的权利。</w:t>
      </w:r>
      <w:bookmarkEnd w:id="77"/>
    </w:p>
    <w:p>
      <w:pPr>
        <w:spacing w:line="500" w:lineRule="exact"/>
        <w:ind w:left="1080" w:hanging="1080" w:hangingChars="450"/>
        <w:rPr>
          <w:rFonts w:cs="仿宋_GB2312"/>
          <w:sz w:val="24"/>
        </w:rPr>
      </w:pPr>
      <w:r>
        <w:rPr>
          <w:rFonts w:hint="eastAsia" w:cs="仿宋_GB2312"/>
          <w:sz w:val="24"/>
        </w:rPr>
        <w:t>18.1.1   中标供应商未能在合同规定的限期或采购人同意延长的限期内提供全部或部分</w:t>
      </w:r>
    </w:p>
    <w:p>
      <w:pPr>
        <w:spacing w:line="500" w:lineRule="exact"/>
        <w:ind w:left="1078" w:leftChars="456" w:hanging="120" w:hangingChars="50"/>
        <w:rPr>
          <w:rFonts w:cs="仿宋_GB2312"/>
          <w:sz w:val="24"/>
        </w:rPr>
      </w:pPr>
      <w:r>
        <w:rPr>
          <w:rFonts w:hint="eastAsia" w:cs="仿宋_GB2312"/>
          <w:sz w:val="24"/>
        </w:rPr>
        <w:t xml:space="preserve">货物，按合同第14.1的规定采购人可以解除合同； </w:t>
      </w:r>
    </w:p>
    <w:p>
      <w:pPr>
        <w:spacing w:line="500" w:lineRule="exact"/>
        <w:ind w:left="1080" w:hanging="1080" w:hangingChars="450"/>
        <w:rPr>
          <w:rFonts w:cs="仿宋_GB2312"/>
          <w:sz w:val="24"/>
        </w:rPr>
      </w:pPr>
      <w:r>
        <w:rPr>
          <w:rFonts w:hint="eastAsia" w:cs="仿宋_GB2312"/>
          <w:sz w:val="24"/>
        </w:rPr>
        <w:t>18.1.2   中标供应商未能履行合同约定的其他主要义务，采购人可以解除合同；</w:t>
      </w:r>
    </w:p>
    <w:p>
      <w:pPr>
        <w:spacing w:line="500" w:lineRule="exact"/>
        <w:ind w:left="1080" w:hanging="1080" w:hangingChars="450"/>
        <w:rPr>
          <w:rFonts w:cs="仿宋_GB2312"/>
          <w:sz w:val="24"/>
        </w:rPr>
      </w:pPr>
      <w:r>
        <w:rPr>
          <w:rFonts w:hint="eastAsia" w:cs="仿宋_GB2312"/>
          <w:sz w:val="24"/>
        </w:rPr>
        <w:t>18.1.3   在本合同履行过程中有腐败和欺诈行为，采购人可以解除合同。</w:t>
      </w:r>
    </w:p>
    <w:p>
      <w:pPr>
        <w:spacing w:line="500" w:lineRule="exact"/>
        <w:ind w:left="994" w:leftChars="16" w:hanging="960" w:hangingChars="400"/>
        <w:rPr>
          <w:rFonts w:cs="仿宋_GB2312"/>
          <w:sz w:val="24"/>
        </w:rPr>
      </w:pPr>
      <w:r>
        <w:rPr>
          <w:rFonts w:hint="eastAsia" w:cs="仿宋_GB2312"/>
          <w:sz w:val="24"/>
        </w:rPr>
        <w:t>18.2    采购人根据上述第18.1条规定，全部或部分解除合同之后，有权遵循诚实信用原则，全部或部分购买与未交付的货物类似的货物或服务，中标供应商应当承担采购人购买类似货物或服务而产生的额外支出。部分解除合同的，中标供应商应当继续履行合同中未解除的部分。</w:t>
      </w:r>
      <w:bookmarkStart w:id="78" w:name="_Toc109543205"/>
      <w:bookmarkStart w:id="79" w:name="_Toc487900368"/>
      <w:bookmarkStart w:id="80" w:name="_Toc109542385"/>
    </w:p>
    <w:p>
      <w:pPr>
        <w:spacing w:line="500" w:lineRule="exact"/>
        <w:rPr>
          <w:rFonts w:cs="仿宋_GB2312"/>
          <w:b/>
          <w:sz w:val="24"/>
        </w:rPr>
      </w:pPr>
      <w:r>
        <w:rPr>
          <w:rFonts w:hint="eastAsia" w:cs="仿宋_GB2312"/>
          <w:b/>
          <w:sz w:val="24"/>
        </w:rPr>
        <w:t>19 .破产终止合同</w:t>
      </w:r>
      <w:bookmarkEnd w:id="78"/>
      <w:bookmarkEnd w:id="79"/>
      <w:bookmarkEnd w:id="80"/>
    </w:p>
    <w:p>
      <w:pPr>
        <w:spacing w:line="500" w:lineRule="exact"/>
        <w:ind w:left="1080" w:hanging="1080" w:hangingChars="450"/>
        <w:rPr>
          <w:rFonts w:cs="仿宋_GB2312"/>
          <w:sz w:val="24"/>
        </w:rPr>
      </w:pPr>
      <w:r>
        <w:rPr>
          <w:rFonts w:hint="eastAsia" w:cs="仿宋_GB2312"/>
          <w:sz w:val="24"/>
        </w:rPr>
        <w:t>19.1     如果中标供应商破产导致合同无法履行时，采购人可以书面形式通知中标供应商，单方终止合同而不给中标供应商补偿。但采购人必须以书面形式告知同级政府采购监督管理部门。该合同的终止将不损害或不影响采购人已经采取或将要采取的任何行动或补救措施的权利。</w:t>
      </w:r>
      <w:bookmarkStart w:id="81" w:name="_Toc109543206"/>
      <w:bookmarkStart w:id="82" w:name="_Toc109542386"/>
      <w:bookmarkStart w:id="83" w:name="_Toc487900369"/>
    </w:p>
    <w:p>
      <w:pPr>
        <w:spacing w:line="500" w:lineRule="exact"/>
        <w:rPr>
          <w:rFonts w:cs="仿宋_GB2312"/>
          <w:b/>
          <w:sz w:val="24"/>
        </w:rPr>
      </w:pPr>
      <w:r>
        <w:rPr>
          <w:rFonts w:hint="eastAsia" w:cs="仿宋_GB2312"/>
          <w:b/>
          <w:sz w:val="24"/>
        </w:rPr>
        <w:t>20 .转让和分包</w:t>
      </w:r>
      <w:bookmarkEnd w:id="81"/>
      <w:bookmarkEnd w:id="82"/>
      <w:bookmarkEnd w:id="83"/>
    </w:p>
    <w:p>
      <w:pPr>
        <w:spacing w:line="500" w:lineRule="exact"/>
        <w:rPr>
          <w:rFonts w:cs="仿宋_GB2312"/>
          <w:sz w:val="24"/>
        </w:rPr>
      </w:pPr>
      <w:r>
        <w:rPr>
          <w:rFonts w:hint="eastAsia" w:cs="仿宋_GB2312"/>
          <w:sz w:val="24"/>
        </w:rPr>
        <w:t>20.1     政府采购合同不能转让。</w:t>
      </w:r>
    </w:p>
    <w:p>
      <w:pPr>
        <w:spacing w:line="500" w:lineRule="exact"/>
        <w:ind w:left="1080" w:hanging="1080" w:hangingChars="450"/>
        <w:rPr>
          <w:rFonts w:cs="仿宋_GB2312"/>
          <w:dstrike/>
          <w:sz w:val="24"/>
        </w:rPr>
      </w:pPr>
      <w:r>
        <w:rPr>
          <w:rFonts w:hint="eastAsia" w:cs="仿宋_GB2312"/>
          <w:sz w:val="24"/>
        </w:rPr>
        <w:t>20.2     经采购人同意，中标供应商可以将合同项下非主体、非关键性工作分包给他人完成，但必须在投标文件中载明。接受分包的人应当具备相应的资格条件，并不得再次分包。分包后不能免除中标供应商履行本合同的责任和义务，接受分包的人与中标供应商共同对采购人连带承担合同的责任和义务。</w:t>
      </w:r>
      <w:bookmarkStart w:id="84" w:name="_Toc109542387"/>
      <w:bookmarkStart w:id="85" w:name="_Toc109543207"/>
      <w:bookmarkStart w:id="86" w:name="_Toc487900370"/>
    </w:p>
    <w:p>
      <w:pPr>
        <w:spacing w:line="500" w:lineRule="exact"/>
        <w:rPr>
          <w:rFonts w:cs="仿宋_GB2312"/>
          <w:b/>
          <w:sz w:val="24"/>
        </w:rPr>
      </w:pPr>
      <w:r>
        <w:rPr>
          <w:rFonts w:hint="eastAsia" w:cs="仿宋_GB2312"/>
          <w:b/>
          <w:sz w:val="24"/>
        </w:rPr>
        <w:t>21.合同修改</w:t>
      </w:r>
      <w:bookmarkEnd w:id="84"/>
      <w:bookmarkEnd w:id="85"/>
      <w:bookmarkEnd w:id="86"/>
    </w:p>
    <w:p>
      <w:pPr>
        <w:spacing w:line="500" w:lineRule="exact"/>
        <w:ind w:left="1080" w:hanging="1080" w:hangingChars="450"/>
        <w:rPr>
          <w:rFonts w:cs="仿宋_GB2312"/>
          <w:sz w:val="24"/>
        </w:rPr>
      </w:pPr>
      <w:r>
        <w:rPr>
          <w:rFonts w:hint="eastAsia" w:cs="仿宋_GB2312"/>
          <w:sz w:val="24"/>
        </w:rPr>
        <w:t>21.1     采购人和中标供应商都不得擅自变更本合同，但合同继续履行将损害国家和社会公共利益的除外。如必须对合同条款进行改动时，当事人双方须共同签署书面文件，作为合同的补充，并报同级政府采购监督管理部门备案。</w:t>
      </w:r>
      <w:bookmarkStart w:id="87" w:name="_Toc109542388"/>
      <w:bookmarkStart w:id="88" w:name="_Toc487900371"/>
      <w:bookmarkStart w:id="89" w:name="_Toc109543208"/>
    </w:p>
    <w:p>
      <w:pPr>
        <w:spacing w:line="500" w:lineRule="exact"/>
        <w:rPr>
          <w:rFonts w:cs="仿宋_GB2312"/>
          <w:b/>
          <w:sz w:val="24"/>
        </w:rPr>
      </w:pPr>
      <w:r>
        <w:rPr>
          <w:rFonts w:hint="eastAsia" w:cs="仿宋_GB2312"/>
          <w:b/>
          <w:sz w:val="24"/>
        </w:rPr>
        <w:t>22 .通知</w:t>
      </w:r>
      <w:bookmarkEnd w:id="87"/>
      <w:bookmarkEnd w:id="88"/>
      <w:bookmarkEnd w:id="89"/>
    </w:p>
    <w:p>
      <w:pPr>
        <w:spacing w:line="500" w:lineRule="exact"/>
        <w:ind w:left="1080" w:hanging="1080" w:hangingChars="450"/>
        <w:rPr>
          <w:rFonts w:cs="仿宋_GB2312"/>
          <w:sz w:val="24"/>
        </w:rPr>
      </w:pPr>
      <w:r>
        <w:rPr>
          <w:rFonts w:hint="eastAsia" w:cs="仿宋_GB2312"/>
          <w:sz w:val="24"/>
        </w:rPr>
        <w:t>22.1     本合同任何一方给另一方的通知，都应当以书面形式发送。本合同所列地址为双方收件地址，一方如须变更应书面通知另一方。如一方未通知，则另一方按照本合同所列地址发出的任何文件均视为能有效送达。</w:t>
      </w:r>
      <w:bookmarkStart w:id="90" w:name="_Toc109542389"/>
      <w:bookmarkStart w:id="91" w:name="_Toc109543209"/>
      <w:bookmarkStart w:id="92" w:name="_Toc487900372"/>
    </w:p>
    <w:p>
      <w:pPr>
        <w:spacing w:line="500" w:lineRule="exact"/>
        <w:rPr>
          <w:rFonts w:cs="仿宋_GB2312"/>
          <w:b/>
          <w:sz w:val="24"/>
        </w:rPr>
      </w:pPr>
      <w:r>
        <w:rPr>
          <w:rFonts w:hint="eastAsia" w:cs="仿宋_GB2312"/>
          <w:b/>
          <w:sz w:val="24"/>
        </w:rPr>
        <w:t>23.计量单位</w:t>
      </w:r>
      <w:bookmarkEnd w:id="90"/>
      <w:bookmarkEnd w:id="91"/>
      <w:bookmarkEnd w:id="92"/>
    </w:p>
    <w:p>
      <w:pPr>
        <w:spacing w:line="500" w:lineRule="exact"/>
        <w:rPr>
          <w:rFonts w:cs="仿宋_GB2312"/>
          <w:sz w:val="24"/>
        </w:rPr>
      </w:pPr>
      <w:r>
        <w:rPr>
          <w:rFonts w:hint="eastAsia" w:cs="仿宋_GB2312"/>
          <w:sz w:val="24"/>
        </w:rPr>
        <w:t>23.1     除技术规范中另有规定外,计量单位均使用国家法定计量单位。</w:t>
      </w:r>
      <w:bookmarkStart w:id="93" w:name="_Toc109543210"/>
      <w:bookmarkStart w:id="94" w:name="_Toc487900373"/>
      <w:bookmarkStart w:id="95" w:name="_Toc109542390"/>
    </w:p>
    <w:p>
      <w:pPr>
        <w:spacing w:line="500" w:lineRule="exact"/>
        <w:rPr>
          <w:rFonts w:cs="仿宋_GB2312"/>
          <w:b/>
          <w:sz w:val="24"/>
        </w:rPr>
      </w:pPr>
      <w:r>
        <w:rPr>
          <w:rFonts w:hint="eastAsia" w:cs="仿宋_GB2312"/>
          <w:b/>
          <w:sz w:val="24"/>
        </w:rPr>
        <w:t>24 .适用法律</w:t>
      </w:r>
      <w:bookmarkEnd w:id="93"/>
      <w:bookmarkEnd w:id="94"/>
      <w:bookmarkEnd w:id="95"/>
    </w:p>
    <w:p>
      <w:pPr>
        <w:spacing w:line="500" w:lineRule="exact"/>
        <w:ind w:left="1234" w:hanging="1233" w:hangingChars="514"/>
        <w:rPr>
          <w:rFonts w:cs="仿宋_GB2312"/>
          <w:sz w:val="24"/>
        </w:rPr>
      </w:pPr>
      <w:r>
        <w:rPr>
          <w:rFonts w:hint="eastAsia" w:cs="仿宋_GB2312"/>
          <w:sz w:val="24"/>
        </w:rPr>
        <w:t>24.1     本合同应当按照中华人民共和国的法律进行解释。</w:t>
      </w:r>
      <w:bookmarkStart w:id="96" w:name="_Toc109542391"/>
      <w:bookmarkStart w:id="97" w:name="_Toc109543211"/>
      <w:bookmarkStart w:id="98" w:name="_Toc487900374"/>
    </w:p>
    <w:bookmarkEnd w:id="96"/>
    <w:bookmarkEnd w:id="97"/>
    <w:p>
      <w:pPr>
        <w:spacing w:line="500" w:lineRule="exact"/>
        <w:rPr>
          <w:rFonts w:cs="仿宋_GB2312"/>
          <w:b/>
          <w:sz w:val="24"/>
        </w:rPr>
      </w:pPr>
      <w:bookmarkStart w:id="99" w:name="_Toc109542392"/>
      <w:bookmarkStart w:id="100" w:name="_Toc109543212"/>
      <w:r>
        <w:rPr>
          <w:rFonts w:hint="eastAsia" w:cs="仿宋_GB2312"/>
          <w:b/>
          <w:sz w:val="24"/>
        </w:rPr>
        <w:t>25.</w:t>
      </w:r>
      <w:bookmarkEnd w:id="98"/>
      <w:r>
        <w:rPr>
          <w:rFonts w:hint="eastAsia" w:cs="仿宋_GB2312"/>
          <w:b/>
          <w:sz w:val="24"/>
        </w:rPr>
        <w:t>其他</w:t>
      </w:r>
      <w:bookmarkEnd w:id="99"/>
      <w:bookmarkEnd w:id="100"/>
    </w:p>
    <w:p>
      <w:pPr>
        <w:spacing w:line="500" w:lineRule="exact"/>
        <w:ind w:left="1080" w:hanging="1080" w:hangingChars="450"/>
        <w:rPr>
          <w:rFonts w:cs="仿宋_GB2312"/>
          <w:sz w:val="24"/>
        </w:rPr>
      </w:pPr>
      <w:bookmarkStart w:id="101" w:name="_Toc109542393"/>
      <w:bookmarkStart w:id="102" w:name="_Toc109542598"/>
      <w:bookmarkStart w:id="103" w:name="_Toc109543213"/>
      <w:r>
        <w:rPr>
          <w:rFonts w:hint="eastAsia" w:cs="仿宋_GB2312"/>
          <w:sz w:val="24"/>
        </w:rPr>
        <w:t>25.1     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违约金不足以弥补甲方损失的，甲方有权要求向乙方追偿以弥补损失。</w:t>
      </w:r>
    </w:p>
    <w:p>
      <w:pPr>
        <w:spacing w:line="500" w:lineRule="exact"/>
        <w:ind w:left="1080" w:hanging="1080" w:hangingChars="450"/>
        <w:rPr>
          <w:rFonts w:cs="仿宋_GB2312"/>
          <w:sz w:val="24"/>
        </w:rPr>
      </w:pPr>
      <w:r>
        <w:rPr>
          <w:rFonts w:hint="eastAsia" w:cs="仿宋_GB2312"/>
          <w:sz w:val="24"/>
        </w:rPr>
        <w:t>25.2     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pPr>
        <w:spacing w:line="500" w:lineRule="exact"/>
        <w:ind w:left="1135" w:leftChars="26" w:hanging="1080" w:hangingChars="450"/>
        <w:rPr>
          <w:rFonts w:cs="仿宋_GB2312"/>
          <w:sz w:val="24"/>
        </w:rPr>
      </w:pPr>
      <w:r>
        <w:rPr>
          <w:rFonts w:hint="eastAsia" w:cs="仿宋_GB2312"/>
          <w:sz w:val="24"/>
        </w:rPr>
        <w:t>25.3     甲方向乙方发出解除合同通知之日起3日内本合同解除。乙方应于本合同解除之日起3日自行退场，并于收到甲方赔偿通知之日起3日内向甲方支付违约金及各项损失赔偿金。</w:t>
      </w:r>
    </w:p>
    <w:p>
      <w:pPr>
        <w:spacing w:line="500" w:lineRule="exact"/>
        <w:ind w:left="1200" w:hanging="1200" w:hangingChars="500"/>
        <w:rPr>
          <w:sz w:val="24"/>
        </w:rPr>
      </w:pPr>
      <w:r>
        <w:rPr>
          <w:rFonts w:hint="eastAsia" w:cs="仿宋_GB2312"/>
          <w:sz w:val="24"/>
        </w:rPr>
        <w:t>25.4</w:t>
      </w:r>
      <w:bookmarkEnd w:id="101"/>
      <w:bookmarkEnd w:id="102"/>
      <w:bookmarkEnd w:id="103"/>
      <w:r>
        <w:rPr>
          <w:rFonts w:hint="eastAsia" w:cs="仿宋_GB2312"/>
          <w:sz w:val="24"/>
        </w:rPr>
        <w:t xml:space="preserve">      如需修改或补充合同内容，经协商，采购人与中标供应商应签署书面修改或补充合同，该合同将作为本合同的一个组成部分。</w:t>
      </w:r>
    </w:p>
    <w:p>
      <w:pPr>
        <w:widowControl/>
        <w:jc w:val="left"/>
        <w:rPr>
          <w:b/>
          <w:bCs/>
        </w:rPr>
      </w:pPr>
    </w:p>
    <w:p>
      <w:pPr>
        <w:widowControl/>
        <w:jc w:val="left"/>
        <w:rPr>
          <w:b/>
          <w:bCs/>
        </w:rPr>
      </w:pPr>
    </w:p>
    <w:p>
      <w:pPr>
        <w:widowControl/>
        <w:jc w:val="left"/>
        <w:rPr>
          <w:b/>
          <w:bCs/>
        </w:rPr>
      </w:pPr>
    </w:p>
    <w:p>
      <w:pPr>
        <w:widowControl/>
        <w:jc w:val="left"/>
        <w:rPr>
          <w:b/>
          <w:bCs/>
        </w:rPr>
      </w:pPr>
    </w:p>
    <w:p>
      <w:pPr>
        <w:widowControl/>
        <w:jc w:val="left"/>
        <w:rPr>
          <w:b/>
          <w:bCs/>
        </w:rPr>
      </w:pPr>
    </w:p>
    <w:p>
      <w:pPr>
        <w:widowControl/>
        <w:jc w:val="left"/>
        <w:rPr>
          <w:b/>
          <w:bCs/>
        </w:rPr>
      </w:pPr>
    </w:p>
    <w:p>
      <w:pPr>
        <w:widowControl/>
        <w:jc w:val="left"/>
        <w:rPr>
          <w:b/>
          <w:bCs/>
        </w:rPr>
      </w:pPr>
    </w:p>
    <w:p>
      <w:pPr>
        <w:widowControl/>
        <w:jc w:val="left"/>
        <w:rPr>
          <w:b/>
          <w:bCs/>
        </w:rPr>
      </w:pPr>
    </w:p>
    <w:p>
      <w:pPr>
        <w:pStyle w:val="2"/>
      </w:pPr>
    </w:p>
    <w:p>
      <w:pPr>
        <w:widowControl/>
        <w:jc w:val="left"/>
        <w:rPr>
          <w:b/>
          <w:bCs/>
        </w:rPr>
      </w:pPr>
    </w:p>
    <w:p>
      <w:pPr>
        <w:widowControl/>
        <w:jc w:val="left"/>
        <w:rPr>
          <w:b/>
          <w:bCs/>
        </w:rPr>
      </w:pPr>
    </w:p>
    <w:p>
      <w:pPr>
        <w:pStyle w:val="2"/>
      </w:pPr>
    </w:p>
    <w:p>
      <w:pPr>
        <w:widowControl/>
        <w:jc w:val="left"/>
        <w:rPr>
          <w:b/>
          <w:bCs/>
        </w:rPr>
      </w:pPr>
    </w:p>
    <w:p>
      <w:pPr>
        <w:widowControl/>
        <w:jc w:val="left"/>
      </w:pPr>
      <w:r>
        <w:rPr>
          <w:rFonts w:hint="eastAsia"/>
          <w:b/>
          <w:bCs/>
          <w:sz w:val="24"/>
          <w:szCs w:val="24"/>
        </w:rPr>
        <w:t>附件一：产品功能清单</w:t>
      </w: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r>
        <w:rPr>
          <w:rFonts w:hint="eastAsia" w:ascii="宋体" w:hAnsi="宋体"/>
          <w:b/>
          <w:sz w:val="36"/>
        </w:rPr>
        <w:t>第四部分附件</w:t>
      </w:r>
    </w:p>
    <w:p>
      <w:pPr>
        <w:spacing w:line="360" w:lineRule="auto"/>
        <w:rPr>
          <w:rFonts w:ascii="宋体"/>
          <w:sz w:val="24"/>
        </w:rPr>
      </w:pPr>
    </w:p>
    <w:p>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pPr>
        <w:spacing w:line="400" w:lineRule="atLeast"/>
        <w:jc w:val="left"/>
        <w:rPr>
          <w:rFonts w:eastAsia="黑体"/>
          <w:sz w:val="30"/>
        </w:rPr>
      </w:pPr>
    </w:p>
    <w:p>
      <w:pPr>
        <w:spacing w:before="120"/>
        <w:jc w:val="center"/>
        <w:rPr>
          <w:rFonts w:eastAsia="黑体"/>
          <w:sz w:val="30"/>
        </w:rPr>
      </w:pPr>
    </w:p>
    <w:p>
      <w:pPr>
        <w:spacing w:before="120"/>
        <w:jc w:val="center"/>
        <w:rPr>
          <w:rFonts w:eastAsia="黑体"/>
          <w:sz w:val="30"/>
        </w:rPr>
      </w:pPr>
      <w:r>
        <w:rPr>
          <w:rFonts w:hint="eastAsia" w:eastAsia="黑体"/>
          <w:sz w:val="30"/>
        </w:rPr>
        <w:t xml:space="preserve">   目  录</w:t>
      </w:r>
    </w:p>
    <w:p>
      <w:pPr>
        <w:spacing w:line="600" w:lineRule="exact"/>
        <w:jc w:val="distribute"/>
        <w:rPr>
          <w:rFonts w:ascii="宋体"/>
          <w:sz w:val="24"/>
          <w:vertAlign w:val="subscript"/>
        </w:rPr>
      </w:pPr>
      <w:r>
        <w:rPr>
          <w:rFonts w:hint="eastAsia" w:ascii="宋体"/>
          <w:sz w:val="24"/>
        </w:rPr>
        <w:t xml:space="preserve"> 附件一    法定代表人授权书</w:t>
      </w:r>
      <w:r>
        <w:rPr>
          <w:rFonts w:hint="eastAsia"/>
          <w:sz w:val="24"/>
        </w:rPr>
        <w:t>.</w:t>
      </w:r>
      <w:r>
        <w:rPr>
          <w:rFonts w:ascii="宋体"/>
          <w:sz w:val="24"/>
        </w:rPr>
        <w:t xml:space="preserve">…………………………………………………… </w:t>
      </w:r>
      <w:r>
        <w:rPr>
          <w:rFonts w:hint="eastAsia" w:ascii="宋体"/>
          <w:sz w:val="24"/>
        </w:rPr>
        <w:t>26</w:t>
      </w:r>
    </w:p>
    <w:p>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27</w:t>
      </w:r>
    </w:p>
    <w:p>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28</w:t>
      </w:r>
    </w:p>
    <w:p>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29</w:t>
      </w:r>
    </w:p>
    <w:p>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30</w:t>
      </w:r>
    </w:p>
    <w:p>
      <w:pPr>
        <w:spacing w:line="600" w:lineRule="exact"/>
        <w:jc w:val="distribute"/>
        <w:rPr>
          <w:rFonts w:ascii="宋体"/>
          <w:sz w:val="24"/>
        </w:rPr>
      </w:pPr>
      <w:r>
        <w:rPr>
          <w:rFonts w:hint="eastAsia" w:ascii="宋体"/>
          <w:sz w:val="24"/>
        </w:rPr>
        <w:t xml:space="preserve"> 附件六    单位情况表</w:t>
      </w:r>
      <w:r>
        <w:rPr>
          <w:rFonts w:ascii="宋体"/>
          <w:sz w:val="24"/>
        </w:rPr>
        <w:t>…</w:t>
      </w:r>
      <w:r>
        <w:rPr>
          <w:rFonts w:hint="eastAsia"/>
          <w:sz w:val="24"/>
        </w:rPr>
        <w:t>.</w:t>
      </w:r>
      <w:r>
        <w:rPr>
          <w:rFonts w:ascii="宋体"/>
          <w:sz w:val="24"/>
        </w:rPr>
        <w:t>……………………………………………………………</w:t>
      </w:r>
      <w:r>
        <w:rPr>
          <w:rFonts w:hint="eastAsia" w:ascii="宋体"/>
          <w:sz w:val="24"/>
        </w:rPr>
        <w:t>31</w:t>
      </w:r>
    </w:p>
    <w:p>
      <w:pPr>
        <w:pStyle w:val="36"/>
        <w:ind w:firstLine="480"/>
        <w:rPr>
          <w:rFonts w:hint="default"/>
          <w:sz w:val="24"/>
        </w:rPr>
      </w:pPr>
    </w:p>
    <w:p>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32</w:t>
      </w:r>
    </w:p>
    <w:p>
      <w:pPr>
        <w:pStyle w:val="36"/>
        <w:ind w:firstLine="480"/>
        <w:rPr>
          <w:rFonts w:hint="default"/>
          <w:sz w:val="24"/>
        </w:rPr>
      </w:pPr>
    </w:p>
    <w:p>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33</w:t>
      </w:r>
    </w:p>
    <w:p>
      <w:pPr>
        <w:pStyle w:val="36"/>
        <w:ind w:firstLine="480"/>
        <w:rPr>
          <w:rFonts w:hint="default"/>
          <w:sz w:val="24"/>
        </w:rPr>
      </w:pPr>
    </w:p>
    <w:p>
      <w:pPr>
        <w:rPr>
          <w:rFonts w:ascii="宋体"/>
          <w:sz w:val="24"/>
        </w:rPr>
      </w:pPr>
      <w:r>
        <w:rPr>
          <w:rFonts w:hint="eastAsia" w:ascii="宋体"/>
          <w:sz w:val="24"/>
        </w:rPr>
        <w:t xml:space="preserve"> 附件九       服务条款应答表</w:t>
      </w:r>
      <w:r>
        <w:rPr>
          <w:rFonts w:ascii="宋体"/>
          <w:sz w:val="24"/>
        </w:rPr>
        <w:t>……………………………………………………………</w:t>
      </w:r>
      <w:r>
        <w:rPr>
          <w:rFonts w:hint="eastAsia" w:ascii="宋体"/>
          <w:sz w:val="24"/>
        </w:rPr>
        <w:t xml:space="preserve"> 34</w:t>
      </w:r>
    </w:p>
    <w:p>
      <w:pPr>
        <w:pStyle w:val="36"/>
        <w:ind w:firstLine="480"/>
        <w:rPr>
          <w:rFonts w:hint="default"/>
          <w:sz w:val="24"/>
        </w:rPr>
      </w:pPr>
    </w:p>
    <w:p>
      <w:pPr>
        <w:spacing w:line="240" w:lineRule="atLeast"/>
        <w:jc w:val="distribute"/>
        <w:rPr>
          <w:rFonts w:hint="default" w:ascii="宋体" w:eastAsia="宋体"/>
          <w:sz w:val="24"/>
          <w:lang w:val="en-US" w:eastAsia="zh-CN"/>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lang w:val="en-US" w:eastAsia="zh-CN"/>
        </w:rPr>
        <w:t>44</w:t>
      </w:r>
    </w:p>
    <w:p>
      <w:pPr>
        <w:pStyle w:val="36"/>
        <w:ind w:firstLine="480"/>
        <w:rPr>
          <w:rFonts w:hint="default"/>
          <w:sz w:val="24"/>
        </w:rPr>
      </w:pPr>
    </w:p>
    <w:p>
      <w:pPr>
        <w:rPr>
          <w:rFonts w:hint="default" w:ascii="宋体" w:eastAsia="宋体"/>
          <w:sz w:val="24"/>
          <w:lang w:val="en-US" w:eastAsia="zh-CN"/>
        </w:rPr>
      </w:pPr>
      <w:r>
        <w:rPr>
          <w:rFonts w:hint="eastAsia" w:ascii="宋体"/>
          <w:sz w:val="24"/>
        </w:rPr>
        <w:t xml:space="preserve"> 附件十一     监狱企业声明函</w:t>
      </w:r>
      <w:r>
        <w:rPr>
          <w:rFonts w:ascii="宋体"/>
          <w:sz w:val="24"/>
        </w:rPr>
        <w:t>……………………………………………………………</w:t>
      </w:r>
      <w:r>
        <w:rPr>
          <w:rFonts w:hint="eastAsia" w:ascii="宋体"/>
          <w:sz w:val="24"/>
        </w:rPr>
        <w:t xml:space="preserve"> </w:t>
      </w:r>
      <w:r>
        <w:rPr>
          <w:rFonts w:hint="eastAsia" w:ascii="宋体"/>
          <w:sz w:val="24"/>
          <w:lang w:val="en-US" w:eastAsia="zh-CN"/>
        </w:rPr>
        <w:t>45</w:t>
      </w:r>
    </w:p>
    <w:p>
      <w:pPr>
        <w:pStyle w:val="36"/>
        <w:ind w:firstLine="480"/>
        <w:rPr>
          <w:rFonts w:hint="default"/>
          <w:sz w:val="24"/>
        </w:rPr>
      </w:pPr>
    </w:p>
    <w:p>
      <w:pPr>
        <w:rPr>
          <w:rFonts w:hint="default" w:eastAsia="宋体"/>
          <w:lang w:val="en-US" w:eastAsia="zh-CN"/>
        </w:rPr>
      </w:pPr>
      <w:r>
        <w:rPr>
          <w:rFonts w:hint="eastAsia" w:ascii="宋体"/>
          <w:sz w:val="24"/>
        </w:rPr>
        <w:t xml:space="preserve"> 附件十二     中小企业划型标准</w:t>
      </w:r>
      <w:r>
        <w:rPr>
          <w:rFonts w:ascii="宋体"/>
          <w:sz w:val="24"/>
        </w:rPr>
        <w:t>………………………………………………………</w:t>
      </w:r>
      <w:r>
        <w:rPr>
          <w:rFonts w:hint="eastAsia" w:ascii="宋体"/>
          <w:sz w:val="24"/>
        </w:rPr>
        <w:t xml:space="preserve">   </w:t>
      </w:r>
      <w:r>
        <w:rPr>
          <w:rFonts w:hint="eastAsia" w:ascii="宋体"/>
          <w:sz w:val="24"/>
          <w:lang w:val="en-US" w:eastAsia="zh-CN"/>
        </w:rPr>
        <w:t>46</w:t>
      </w:r>
    </w:p>
    <w:p/>
    <w:p>
      <w:pPr>
        <w:pStyle w:val="36"/>
        <w:ind w:firstLine="0" w:firstLineChars="0"/>
        <w:rPr>
          <w:rFonts w:hint="default"/>
        </w:rPr>
      </w:pPr>
    </w:p>
    <w:p/>
    <w:p>
      <w:pPr>
        <w:spacing w:line="600" w:lineRule="exact"/>
        <w:jc w:val="distribute"/>
        <w:rPr>
          <w:rFonts w:ascii="宋体"/>
          <w:sz w:val="24"/>
        </w:rPr>
      </w:pPr>
    </w:p>
    <w:p>
      <w:pPr>
        <w:pStyle w:val="2"/>
      </w:pPr>
    </w:p>
    <w:p>
      <w:pPr>
        <w:pStyle w:val="2"/>
      </w:pPr>
    </w:p>
    <w:p>
      <w:pPr>
        <w:pStyle w:val="2"/>
      </w:pPr>
    </w:p>
    <w:p>
      <w:pPr>
        <w:pStyle w:val="2"/>
      </w:pPr>
    </w:p>
    <w:p>
      <w:pPr>
        <w:pStyle w:val="2"/>
      </w:pPr>
    </w:p>
    <w:p>
      <w:pPr>
        <w:pStyle w:val="2"/>
      </w:pPr>
    </w:p>
    <w:p>
      <w:pPr>
        <w:spacing w:line="420" w:lineRule="exact"/>
        <w:jc w:val="left"/>
        <w:rPr>
          <w:rFonts w:ascii="宋体" w:hAnsi="宋体" w:cs="宋体"/>
          <w:sz w:val="24"/>
          <w:szCs w:val="24"/>
        </w:rPr>
      </w:pPr>
      <w:r>
        <w:rPr>
          <w:rFonts w:hint="eastAsia" w:ascii="宋体" w:hAnsi="宋体" w:cs="宋体"/>
          <w:sz w:val="24"/>
          <w:szCs w:val="24"/>
        </w:rPr>
        <w:t>附件一</w:t>
      </w:r>
    </w:p>
    <w:p>
      <w:pPr>
        <w:spacing w:line="360" w:lineRule="atLeast"/>
        <w:ind w:left="421" w:leftChars="200" w:hanging="1"/>
        <w:jc w:val="center"/>
        <w:outlineLvl w:val="1"/>
        <w:rPr>
          <w:sz w:val="24"/>
        </w:rPr>
      </w:pPr>
      <w:r>
        <w:rPr>
          <w:rFonts w:hint="eastAsia" w:ascii="宋体"/>
          <w:b/>
          <w:sz w:val="28"/>
        </w:rPr>
        <w:t>法定代表人授权书</w:t>
      </w:r>
    </w:p>
    <w:p>
      <w:pPr>
        <w:spacing w:line="360" w:lineRule="auto"/>
        <w:ind w:left="421" w:leftChars="200" w:hanging="1"/>
        <w:rPr>
          <w:sz w:val="24"/>
          <w:u w:val="single"/>
        </w:rPr>
      </w:pPr>
    </w:p>
    <w:p>
      <w:pPr>
        <w:spacing w:line="360" w:lineRule="auto"/>
        <w:ind w:left="421" w:leftChars="200" w:hanging="1"/>
        <w:rPr>
          <w:sz w:val="24"/>
          <w:u w:val="single"/>
        </w:rPr>
      </w:pPr>
    </w:p>
    <w:p>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pPr>
        <w:spacing w:line="480" w:lineRule="auto"/>
        <w:ind w:left="421" w:leftChars="200" w:hanging="1"/>
        <w:rPr>
          <w:sz w:val="24"/>
        </w:rPr>
      </w:pPr>
      <w:r>
        <w:rPr>
          <w:rFonts w:hint="eastAsia"/>
          <w:sz w:val="24"/>
        </w:rPr>
        <w:t>本授权书于年月日签字生效，特此声明。</w:t>
      </w:r>
    </w:p>
    <w:p>
      <w:pPr>
        <w:spacing w:line="360" w:lineRule="auto"/>
        <w:ind w:left="421" w:leftChars="200" w:hanging="1"/>
        <w:rPr>
          <w:sz w:val="24"/>
        </w:rPr>
      </w:pPr>
    </w:p>
    <w:p>
      <w:pPr>
        <w:spacing w:line="360" w:lineRule="auto"/>
        <w:ind w:left="421" w:leftChars="200" w:hanging="1"/>
        <w:rPr>
          <w:sz w:val="24"/>
        </w:rPr>
      </w:pPr>
      <w:r>
        <w:rPr>
          <w:rFonts w:hint="eastAsia"/>
          <w:sz w:val="24"/>
        </w:rPr>
        <w:t>法定代表人签字或签（印）章：</w:t>
      </w:r>
    </w:p>
    <w:p>
      <w:pPr>
        <w:spacing w:line="360" w:lineRule="auto"/>
        <w:ind w:left="421" w:leftChars="200" w:hanging="1"/>
        <w:rPr>
          <w:sz w:val="24"/>
        </w:rPr>
      </w:pPr>
    </w:p>
    <w:p>
      <w:pPr>
        <w:spacing w:line="360" w:lineRule="auto"/>
        <w:ind w:left="421" w:leftChars="200" w:hanging="1"/>
        <w:rPr>
          <w:sz w:val="24"/>
        </w:rPr>
      </w:pPr>
      <w:r>
        <w:rPr>
          <w:rFonts w:hint="eastAsia"/>
          <w:sz w:val="24"/>
        </w:rPr>
        <w:t>授权代表签字：</w:t>
      </w:r>
    </w:p>
    <w:p>
      <w:pPr>
        <w:spacing w:line="360" w:lineRule="auto"/>
        <w:ind w:left="420" w:leftChars="200"/>
        <w:rPr>
          <w:sz w:val="24"/>
        </w:rPr>
      </w:pPr>
    </w:p>
    <w:p>
      <w:pPr>
        <w:spacing w:line="360" w:lineRule="auto"/>
        <w:ind w:left="420" w:leftChars="200"/>
        <w:rPr>
          <w:sz w:val="24"/>
        </w:rPr>
      </w:pPr>
      <w:r>
        <w:rPr>
          <w:rFonts w:hint="eastAsia"/>
          <w:sz w:val="24"/>
        </w:rPr>
        <w:t>响应人全称（公章）：</w:t>
      </w:r>
    </w:p>
    <w:p>
      <w:pPr>
        <w:spacing w:line="360" w:lineRule="auto"/>
        <w:ind w:left="420" w:leftChars="200"/>
        <w:rPr>
          <w:sz w:val="24"/>
        </w:rPr>
      </w:pPr>
    </w:p>
    <w:p>
      <w:pPr>
        <w:spacing w:line="360" w:lineRule="auto"/>
        <w:ind w:left="420" w:leftChars="200"/>
        <w:rPr>
          <w:sz w:val="24"/>
        </w:rPr>
      </w:pPr>
      <w:r>
        <w:rPr>
          <w:rFonts w:hint="eastAsia"/>
          <w:sz w:val="24"/>
        </w:rPr>
        <w:t>日　期：</w:t>
      </w:r>
    </w:p>
    <w:p>
      <w:pPr>
        <w:spacing w:line="360" w:lineRule="auto"/>
        <w:ind w:left="421" w:leftChars="200" w:hanging="1"/>
        <w:rPr>
          <w:sz w:val="24"/>
        </w:rPr>
      </w:pPr>
    </w:p>
    <w:p>
      <w:pPr>
        <w:spacing w:line="360" w:lineRule="auto"/>
        <w:ind w:left="421" w:leftChars="200" w:hanging="1"/>
        <w:rPr>
          <w:sz w:val="24"/>
        </w:rPr>
      </w:pPr>
    </w:p>
    <w:p>
      <w:pPr>
        <w:spacing w:line="360" w:lineRule="auto"/>
        <w:ind w:left="421" w:leftChars="200" w:hanging="1"/>
        <w:rPr>
          <w:sz w:val="24"/>
        </w:rPr>
      </w:pPr>
    </w:p>
    <w:p>
      <w:pPr>
        <w:spacing w:line="360" w:lineRule="auto"/>
        <w:ind w:left="421" w:leftChars="200" w:hanging="1"/>
        <w:rPr>
          <w:sz w:val="24"/>
        </w:rPr>
      </w:pPr>
    </w:p>
    <w:p>
      <w:pPr>
        <w:spacing w:line="360" w:lineRule="auto"/>
        <w:ind w:left="421" w:leftChars="200" w:hanging="1"/>
        <w:rPr>
          <w:sz w:val="24"/>
        </w:rPr>
      </w:pPr>
    </w:p>
    <w:p>
      <w:pPr>
        <w:spacing w:line="360" w:lineRule="auto"/>
        <w:ind w:left="421" w:leftChars="200" w:hanging="1"/>
        <w:rPr>
          <w:sz w:val="24"/>
        </w:rPr>
      </w:pPr>
    </w:p>
    <w:p>
      <w:pPr>
        <w:spacing w:line="360" w:lineRule="auto"/>
        <w:rPr>
          <w:sz w:val="24"/>
        </w:rPr>
      </w:pPr>
    </w:p>
    <w:p>
      <w:pPr>
        <w:spacing w:line="360" w:lineRule="auto"/>
        <w:ind w:left="421" w:leftChars="200" w:hanging="1"/>
        <w:rPr>
          <w:sz w:val="24"/>
          <w:highlight w:val="yellow"/>
        </w:rPr>
      </w:pPr>
    </w:p>
    <w:p>
      <w:pPr>
        <w:spacing w:line="360" w:lineRule="auto"/>
        <w:ind w:left="421" w:leftChars="200" w:hanging="1"/>
        <w:rPr>
          <w:sz w:val="24"/>
          <w:highlight w:val="yellow"/>
        </w:rPr>
      </w:pPr>
      <w:r>
        <w:rPr>
          <w:rFonts w:hint="eastAsia" w:ascii="宋体" w:hAnsi="宋体"/>
          <w:sz w:val="24"/>
          <w:highlight w:val="yellow"/>
        </w:rPr>
        <w:t>附：法人及被授权人身份证复印件</w:t>
      </w:r>
    </w:p>
    <w:p>
      <w:pPr>
        <w:spacing w:line="420" w:lineRule="exact"/>
        <w:ind w:firstLine="2700" w:firstLineChars="900"/>
        <w:jc w:val="left"/>
        <w:rPr>
          <w:rFonts w:eastAsia="黑体"/>
          <w:sz w:val="30"/>
        </w:rPr>
      </w:pPr>
    </w:p>
    <w:p>
      <w:pPr>
        <w:spacing w:line="420" w:lineRule="exact"/>
        <w:jc w:val="left"/>
        <w:rPr>
          <w:rFonts w:eastAsia="黑体"/>
          <w:sz w:val="30"/>
        </w:rPr>
      </w:pPr>
    </w:p>
    <w:p>
      <w:pPr>
        <w:spacing w:before="240" w:line="400" w:lineRule="atLeast"/>
        <w:rPr>
          <w:rFonts w:eastAsia="黑体"/>
          <w:sz w:val="30"/>
        </w:rPr>
      </w:pPr>
      <w:r>
        <w:rPr>
          <w:rFonts w:hint="eastAsia" w:ascii="宋体" w:hAnsi="宋体" w:cs="宋体"/>
          <w:sz w:val="24"/>
          <w:szCs w:val="24"/>
        </w:rPr>
        <w:t>附件二</w:t>
      </w:r>
    </w:p>
    <w:p>
      <w:pPr>
        <w:spacing w:before="240" w:line="400" w:lineRule="atLeast"/>
        <w:jc w:val="center"/>
        <w:rPr>
          <w:rFonts w:ascii="宋体"/>
          <w:b/>
          <w:sz w:val="24"/>
          <w:szCs w:val="24"/>
        </w:rPr>
      </w:pPr>
      <w:r>
        <w:rPr>
          <w:rFonts w:hint="eastAsia" w:ascii="宋体"/>
          <w:b/>
          <w:sz w:val="24"/>
          <w:szCs w:val="24"/>
        </w:rPr>
        <w:t>中小企业声明函</w:t>
      </w:r>
    </w:p>
    <w:p>
      <w:pPr>
        <w:spacing w:line="240" w:lineRule="atLeast"/>
        <w:ind w:left="1080" w:leftChars="257" w:hanging="540"/>
        <w:jc w:val="center"/>
        <w:rPr>
          <w:rFonts w:ascii="仿宋_GB2312" w:hAnsi="Arial" w:eastAsia="仿宋_GB2312"/>
          <w:b/>
          <w:sz w:val="24"/>
        </w:rPr>
      </w:pPr>
    </w:p>
    <w:p>
      <w:pPr>
        <w:spacing w:line="480" w:lineRule="exact"/>
        <w:jc w:val="center"/>
        <w:rPr>
          <w:rFonts w:cs="宋体"/>
          <w:b/>
          <w:bCs/>
          <w:sz w:val="24"/>
          <w:szCs w:val="24"/>
        </w:rPr>
      </w:pPr>
    </w:p>
    <w:p>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w:t>
      </w:r>
      <w:r>
        <w:rPr>
          <w:rFonts w:hint="eastAsia" w:cs="宋体"/>
          <w:sz w:val="24"/>
          <w:szCs w:val="24"/>
          <w:lang w:eastAsia="zh-CN"/>
        </w:rPr>
        <w:t>提供的货物或服务</w:t>
      </w:r>
      <w:r>
        <w:rPr>
          <w:rFonts w:hint="eastAsia" w:cs="宋体"/>
          <w:sz w:val="24"/>
          <w:szCs w:val="24"/>
        </w:rPr>
        <w:t>全部为符合政策要求的中小企业（或者：服务全部由符合政策要求的中小企业承接）。相关企业（含联合体中的中小企业、签订分包意向协议的中小企业）的具体情况如下：</w:t>
      </w:r>
    </w:p>
    <w:p>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，从业人员人，营业收入为万元，资产总额为万元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pPr>
        <w:tabs>
          <w:tab w:val="left" w:pos="7513"/>
        </w:tabs>
        <w:spacing w:line="480" w:lineRule="exact"/>
        <w:ind w:firstLine="4320" w:firstLineChars="1800"/>
        <w:rPr>
          <w:rFonts w:cs="宋体"/>
          <w:sz w:val="24"/>
          <w:szCs w:val="24"/>
        </w:rPr>
      </w:pPr>
    </w:p>
    <w:p>
      <w:pPr>
        <w:tabs>
          <w:tab w:val="left" w:pos="7513"/>
        </w:tabs>
        <w:spacing w:line="480" w:lineRule="exact"/>
        <w:ind w:firstLine="4800" w:firstLineChars="2000"/>
        <w:rPr>
          <w:rFonts w:cs="宋体"/>
          <w:sz w:val="24"/>
          <w:szCs w:val="24"/>
        </w:rPr>
      </w:pPr>
      <w:r>
        <w:rPr>
          <w:rFonts w:hint="eastAsia" w:cs="宋体"/>
          <w:sz w:val="24"/>
          <w:szCs w:val="24"/>
        </w:rPr>
        <w:t>企业名称（盖章）：</w:t>
      </w:r>
    </w:p>
    <w:p>
      <w:pPr>
        <w:tabs>
          <w:tab w:val="left" w:pos="7513"/>
        </w:tabs>
        <w:spacing w:line="480" w:lineRule="exact"/>
        <w:ind w:firstLine="4800" w:firstLineChars="2000"/>
        <w:rPr>
          <w:rFonts w:cs="宋体"/>
          <w:sz w:val="24"/>
          <w:szCs w:val="24"/>
        </w:rPr>
      </w:pPr>
      <w:r>
        <w:rPr>
          <w:rFonts w:hint="eastAsia" w:cs="宋体"/>
          <w:sz w:val="24"/>
          <w:szCs w:val="24"/>
        </w:rPr>
        <w:t>日期：</w:t>
      </w:r>
    </w:p>
    <w:p>
      <w:pPr>
        <w:spacing w:line="420" w:lineRule="exact"/>
        <w:jc w:val="left"/>
        <w:rPr>
          <w:sz w:val="24"/>
          <w:szCs w:val="24"/>
        </w:rPr>
      </w:pPr>
      <w:r>
        <w:rPr>
          <w:rFonts w:eastAsia="黑体"/>
          <w:sz w:val="30"/>
        </w:rPr>
        <w:br w:type="page"/>
      </w:r>
      <w:r>
        <w:rPr>
          <w:rFonts w:hint="eastAsia"/>
          <w:sz w:val="24"/>
          <w:szCs w:val="24"/>
        </w:rPr>
        <w:t>附件三　</w:t>
      </w:r>
    </w:p>
    <w:p>
      <w:pPr>
        <w:spacing w:line="420" w:lineRule="exact"/>
        <w:jc w:val="center"/>
        <w:rPr>
          <w:b/>
          <w:sz w:val="24"/>
          <w:szCs w:val="24"/>
        </w:rPr>
      </w:pPr>
      <w:r>
        <w:rPr>
          <w:rFonts w:hint="eastAsia"/>
          <w:b/>
          <w:sz w:val="24"/>
          <w:szCs w:val="24"/>
        </w:rPr>
        <w:t>报价函</w:t>
      </w:r>
    </w:p>
    <w:p>
      <w:pPr>
        <w:spacing w:line="420" w:lineRule="exact"/>
        <w:jc w:val="left"/>
        <w:rPr>
          <w:b/>
          <w:sz w:val="30"/>
        </w:rPr>
      </w:pPr>
    </w:p>
    <w:p>
      <w:pPr>
        <w:spacing w:line="420" w:lineRule="exact"/>
      </w:pPr>
    </w:p>
    <w:p>
      <w:pPr>
        <w:spacing w:line="420" w:lineRule="exact"/>
        <w:rPr>
          <w:sz w:val="24"/>
          <w:u w:val="single"/>
        </w:rPr>
      </w:pPr>
      <w:r>
        <w:rPr>
          <w:rFonts w:hint="eastAsia"/>
          <w:sz w:val="24"/>
          <w:u w:val="single"/>
        </w:rPr>
        <w:t>北京大学第六医院：</w:t>
      </w:r>
    </w:p>
    <w:p>
      <w:pPr>
        <w:spacing w:line="420" w:lineRule="exact"/>
        <w:rPr>
          <w:sz w:val="24"/>
        </w:rPr>
      </w:pPr>
    </w:p>
    <w:p>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pPr>
        <w:spacing w:line="420" w:lineRule="exact"/>
        <w:ind w:firstLine="480" w:firstLineChars="200"/>
        <w:rPr>
          <w:sz w:val="24"/>
        </w:rPr>
      </w:pPr>
      <w:r>
        <w:rPr>
          <w:rFonts w:hint="eastAsia"/>
          <w:sz w:val="24"/>
        </w:rPr>
        <w:t>3、保证忠实地执行买卖双方所签经济合同，并承担合同规定的责任义务。</w:t>
      </w:r>
    </w:p>
    <w:p>
      <w:pPr>
        <w:spacing w:line="420" w:lineRule="exact"/>
        <w:ind w:left="839" w:leftChars="228" w:hanging="360" w:hangingChars="150"/>
        <w:rPr>
          <w:rFonts w:ascii="宋体"/>
          <w:sz w:val="24"/>
        </w:rPr>
      </w:pPr>
      <w:r>
        <w:rPr>
          <w:rFonts w:hint="eastAsia"/>
          <w:sz w:val="24"/>
        </w:rPr>
        <w:t>4、</w:t>
      </w:r>
      <w:r>
        <w:rPr>
          <w:rFonts w:hint="eastAsia" w:ascii="宋体"/>
          <w:sz w:val="24"/>
        </w:rPr>
        <w:t>响应人已详细审查全部论证需求文件，包括修改文件（如有的话）以及全部参考资料和有关附件。我们完全理解并同意放弃对这方面有不明及误解的权利。</w:t>
      </w:r>
    </w:p>
    <w:p>
      <w:pPr>
        <w:spacing w:line="420" w:lineRule="exact"/>
        <w:ind w:left="839" w:leftChars="228" w:hanging="360" w:hangingChars="150"/>
        <w:rPr>
          <w:rFonts w:ascii="宋体"/>
          <w:sz w:val="24"/>
        </w:rPr>
      </w:pPr>
      <w:r>
        <w:rPr>
          <w:rFonts w:hint="eastAsia"/>
          <w:sz w:val="24"/>
        </w:rPr>
        <w:t>5、</w:t>
      </w:r>
      <w:r>
        <w:rPr>
          <w:rFonts w:hint="eastAsia" w:ascii="宋体"/>
          <w:sz w:val="24"/>
        </w:rPr>
        <w:t>响应人同意提供按照贵方可能要求的与其论证有关的一切数据或资料，完全理解贵方不一定要接受最低价的论证文件。</w:t>
      </w:r>
    </w:p>
    <w:p>
      <w:pPr>
        <w:spacing w:line="420" w:lineRule="exact"/>
        <w:ind w:left="839" w:leftChars="228" w:hanging="360" w:hangingChars="150"/>
        <w:rPr>
          <w:rFonts w:ascii="宋体"/>
          <w:sz w:val="24"/>
        </w:rPr>
      </w:pPr>
      <w:r>
        <w:rPr>
          <w:rFonts w:hint="eastAsia"/>
          <w:sz w:val="24"/>
        </w:rPr>
        <w:t>6、保证遵守论证要求中的有关规定。</w:t>
      </w:r>
    </w:p>
    <w:p>
      <w:pPr>
        <w:spacing w:line="420" w:lineRule="exact"/>
        <w:ind w:firstLine="480" w:firstLineChars="200"/>
        <w:rPr>
          <w:sz w:val="24"/>
        </w:rPr>
      </w:pPr>
      <w:r>
        <w:rPr>
          <w:rFonts w:hint="eastAsia"/>
          <w:sz w:val="24"/>
        </w:rPr>
        <w:t>7、本论证自采购论证之日起</w:t>
      </w:r>
      <w:r>
        <w:rPr>
          <w:sz w:val="24"/>
          <w:u w:val="single"/>
        </w:rPr>
        <w:t>90</w:t>
      </w:r>
      <w:r>
        <w:rPr>
          <w:rFonts w:hint="eastAsia"/>
          <w:sz w:val="24"/>
        </w:rPr>
        <w:t>天内有效。</w:t>
      </w:r>
    </w:p>
    <w:p>
      <w:pPr>
        <w:spacing w:line="420" w:lineRule="exact"/>
        <w:ind w:firstLine="480" w:firstLineChars="200"/>
        <w:rPr>
          <w:sz w:val="24"/>
        </w:rPr>
      </w:pPr>
      <w:r>
        <w:rPr>
          <w:rFonts w:hint="eastAsia"/>
          <w:sz w:val="24"/>
        </w:rPr>
        <w:t>8、与本采购论证有关的一切往来通讯请寄：</w:t>
      </w:r>
    </w:p>
    <w:p>
      <w:pPr>
        <w:spacing w:line="420" w:lineRule="exact"/>
        <w:rPr>
          <w:sz w:val="24"/>
        </w:rPr>
      </w:pPr>
    </w:p>
    <w:p>
      <w:pPr>
        <w:spacing w:line="420" w:lineRule="exact"/>
        <w:rPr>
          <w:sz w:val="24"/>
        </w:rPr>
      </w:pPr>
      <w:r>
        <w:rPr>
          <w:rFonts w:hint="eastAsia"/>
          <w:sz w:val="24"/>
        </w:rPr>
        <w:t>地址：</w:t>
      </w:r>
      <w:r>
        <w:rPr>
          <w:sz w:val="24"/>
        </w:rPr>
        <w:t>____________________________________________________</w:t>
      </w:r>
    </w:p>
    <w:p>
      <w:pPr>
        <w:spacing w:line="420" w:lineRule="exact"/>
        <w:rPr>
          <w:sz w:val="24"/>
        </w:rPr>
      </w:pP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pPr>
        <w:spacing w:line="420" w:lineRule="exact"/>
        <w:rPr>
          <w:sz w:val="24"/>
          <w:u w:val="single"/>
        </w:rPr>
      </w:pPr>
      <w:r>
        <w:rPr>
          <w:rFonts w:hint="eastAsia"/>
          <w:sz w:val="24"/>
        </w:rPr>
        <w:t>电子信箱地址：</w:t>
      </w:r>
    </w:p>
    <w:p>
      <w:pPr>
        <w:spacing w:line="420" w:lineRule="exact"/>
        <w:rPr>
          <w:sz w:val="24"/>
        </w:rPr>
      </w:pPr>
    </w:p>
    <w:p>
      <w:pPr>
        <w:spacing w:line="420" w:lineRule="exact"/>
        <w:ind w:firstLine="4560"/>
        <w:rPr>
          <w:sz w:val="24"/>
        </w:rPr>
      </w:pPr>
    </w:p>
    <w:p>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pPr>
        <w:spacing w:line="420" w:lineRule="exact"/>
        <w:ind w:firstLine="3960"/>
        <w:rPr>
          <w:sz w:val="24"/>
        </w:rPr>
      </w:pPr>
    </w:p>
    <w:p>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pPr>
        <w:spacing w:line="420" w:lineRule="exact"/>
        <w:ind w:firstLine="3960"/>
        <w:rPr>
          <w:sz w:val="24"/>
        </w:rPr>
      </w:pPr>
    </w:p>
    <w:p>
      <w:pPr>
        <w:spacing w:line="420" w:lineRule="exact"/>
        <w:ind w:firstLine="3960" w:firstLineChars="1650"/>
        <w:jc w:val="left"/>
        <w:rPr>
          <w:sz w:val="24"/>
        </w:rPr>
      </w:pPr>
      <w:r>
        <w:rPr>
          <w:rFonts w:hint="eastAsia"/>
          <w:sz w:val="24"/>
        </w:rPr>
        <w:t>日　期：</w:t>
      </w:r>
    </w:p>
    <w:p>
      <w:pPr>
        <w:spacing w:line="420" w:lineRule="exact"/>
        <w:jc w:val="left"/>
        <w:rPr>
          <w:sz w:val="24"/>
        </w:rPr>
      </w:pPr>
      <w:r>
        <w:rPr>
          <w:sz w:val="24"/>
        </w:rPr>
        <w:br w:type="page"/>
      </w:r>
      <w:r>
        <w:rPr>
          <w:rFonts w:hint="eastAsia"/>
          <w:sz w:val="24"/>
        </w:rPr>
        <w:t>附件四</w:t>
      </w:r>
    </w:p>
    <w:p>
      <w:pPr>
        <w:spacing w:line="420" w:lineRule="exact"/>
        <w:jc w:val="center"/>
        <w:rPr>
          <w:b/>
          <w:sz w:val="30"/>
        </w:rPr>
      </w:pPr>
      <w:r>
        <w:rPr>
          <w:rFonts w:hint="eastAsia"/>
          <w:b/>
          <w:sz w:val="30"/>
        </w:rPr>
        <w:t>报价一览表</w:t>
      </w:r>
    </w:p>
    <w:p>
      <w:pPr>
        <w:spacing w:line="400" w:lineRule="atLeast"/>
        <w:jc w:val="center"/>
        <w:rPr>
          <w:b/>
          <w:szCs w:val="21"/>
        </w:rPr>
      </w:pPr>
    </w:p>
    <w:p>
      <w:pPr>
        <w:spacing w:line="360" w:lineRule="atLeast"/>
      </w:pPr>
    </w:p>
    <w:p>
      <w:pPr>
        <w:spacing w:line="360" w:lineRule="atLeast"/>
        <w:rPr>
          <w:sz w:val="24"/>
        </w:rPr>
      </w:pPr>
    </w:p>
    <w:p>
      <w:pPr>
        <w:spacing w:line="360" w:lineRule="atLeast"/>
        <w:rPr>
          <w:sz w:val="24"/>
        </w:rPr>
      </w:pPr>
      <w:r>
        <w:rPr>
          <w:rFonts w:hint="eastAsia"/>
          <w:sz w:val="24"/>
        </w:rPr>
        <w:t xml:space="preserve">项目名称： </w:t>
      </w:r>
    </w:p>
    <w:p>
      <w:pPr>
        <w:spacing w:line="360" w:lineRule="atLeast"/>
        <w:rPr>
          <w:sz w:val="24"/>
        </w:rPr>
      </w:pPr>
    </w:p>
    <w:p>
      <w:pPr>
        <w:spacing w:line="400" w:lineRule="exact"/>
        <w:rPr>
          <w:sz w:val="24"/>
          <w:u w:val="single"/>
        </w:rPr>
      </w:pPr>
      <w:r>
        <w:rPr>
          <w:rFonts w:hint="eastAsia"/>
          <w:sz w:val="24"/>
        </w:rPr>
        <w:t>响应人名称：</w:t>
      </w:r>
    </w:p>
    <w:p>
      <w:pPr>
        <w:tabs>
          <w:tab w:val="left" w:pos="825"/>
        </w:tabs>
        <w:spacing w:after="120" w:line="400" w:lineRule="exact"/>
        <w:jc w:val="left"/>
        <w:rPr>
          <w:sz w:val="24"/>
        </w:rPr>
      </w:pPr>
    </w:p>
    <w:tbl>
      <w:tblPr>
        <w:tblStyle w:val="19"/>
        <w:tblW w:w="917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199"/>
        <w:gridCol w:w="2171"/>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1020" w:type="dxa"/>
            <w:vAlign w:val="center"/>
          </w:tcPr>
          <w:p>
            <w:pPr>
              <w:tabs>
                <w:tab w:val="left" w:pos="825"/>
              </w:tabs>
              <w:spacing w:beforeLines="50" w:afterLines="50" w:line="400" w:lineRule="exact"/>
              <w:jc w:val="center"/>
              <w:rPr>
                <w:b/>
                <w:sz w:val="24"/>
              </w:rPr>
            </w:pPr>
            <w:r>
              <w:rPr>
                <w:rFonts w:hint="eastAsia"/>
                <w:b/>
                <w:sz w:val="24"/>
              </w:rPr>
              <w:t>序号</w:t>
            </w:r>
          </w:p>
        </w:tc>
        <w:tc>
          <w:tcPr>
            <w:tcW w:w="2199" w:type="dxa"/>
            <w:vAlign w:val="center"/>
          </w:tcPr>
          <w:p>
            <w:pPr>
              <w:tabs>
                <w:tab w:val="left" w:pos="825"/>
              </w:tabs>
              <w:spacing w:beforeLines="50" w:afterLines="50" w:line="400" w:lineRule="exact"/>
              <w:jc w:val="center"/>
              <w:rPr>
                <w:b/>
                <w:sz w:val="24"/>
              </w:rPr>
            </w:pPr>
            <w:r>
              <w:rPr>
                <w:rFonts w:hint="eastAsia"/>
                <w:b/>
                <w:sz w:val="24"/>
              </w:rPr>
              <w:t>名称</w:t>
            </w:r>
          </w:p>
        </w:tc>
        <w:tc>
          <w:tcPr>
            <w:tcW w:w="2171" w:type="dxa"/>
            <w:vAlign w:val="center"/>
          </w:tcPr>
          <w:p>
            <w:pPr>
              <w:tabs>
                <w:tab w:val="left" w:pos="825"/>
              </w:tabs>
              <w:spacing w:beforeLines="50" w:afterLines="50" w:line="400" w:lineRule="exact"/>
              <w:jc w:val="center"/>
              <w:rPr>
                <w:b/>
                <w:sz w:val="24"/>
              </w:rPr>
            </w:pPr>
            <w:r>
              <w:rPr>
                <w:rFonts w:hint="eastAsia"/>
                <w:b/>
                <w:sz w:val="24"/>
              </w:rPr>
              <w:t>品牌型号或版本</w:t>
            </w:r>
          </w:p>
        </w:tc>
        <w:tc>
          <w:tcPr>
            <w:tcW w:w="1890" w:type="dxa"/>
            <w:vAlign w:val="center"/>
          </w:tcPr>
          <w:p>
            <w:pPr>
              <w:tabs>
                <w:tab w:val="left" w:pos="825"/>
              </w:tabs>
              <w:spacing w:beforeLines="50" w:afterLines="50" w:line="400" w:lineRule="exact"/>
              <w:jc w:val="center"/>
              <w:rPr>
                <w:b/>
                <w:sz w:val="24"/>
              </w:rPr>
            </w:pPr>
            <w:r>
              <w:rPr>
                <w:rFonts w:hint="eastAsia"/>
                <w:b/>
                <w:sz w:val="24"/>
              </w:rPr>
              <w:t>数量（套）</w:t>
            </w:r>
          </w:p>
        </w:tc>
        <w:tc>
          <w:tcPr>
            <w:tcW w:w="1890" w:type="dxa"/>
            <w:vAlign w:val="center"/>
          </w:tcPr>
          <w:p>
            <w:pPr>
              <w:tabs>
                <w:tab w:val="left" w:pos="825"/>
              </w:tabs>
              <w:spacing w:beforeLines="50" w:afterLines="50" w:line="400" w:lineRule="exact"/>
              <w:jc w:val="center"/>
              <w:rPr>
                <w:b/>
                <w:sz w:val="24"/>
              </w:rPr>
            </w:pPr>
            <w:r>
              <w:rPr>
                <w:rFonts w:hint="eastAsia"/>
                <w:b/>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trPr>
        <w:tc>
          <w:tcPr>
            <w:tcW w:w="1020" w:type="dxa"/>
            <w:vAlign w:val="center"/>
          </w:tcPr>
          <w:p>
            <w:pPr>
              <w:spacing w:before="120" w:line="400" w:lineRule="exact"/>
              <w:jc w:val="center"/>
              <w:rPr>
                <w:rFonts w:ascii="宋体" w:hAnsi="宋体"/>
                <w:sz w:val="24"/>
              </w:rPr>
            </w:pPr>
            <w:r>
              <w:rPr>
                <w:rFonts w:hint="eastAsia" w:ascii="宋体" w:hAnsi="宋体"/>
                <w:sz w:val="24"/>
              </w:rPr>
              <w:t>1</w:t>
            </w:r>
          </w:p>
        </w:tc>
        <w:tc>
          <w:tcPr>
            <w:tcW w:w="2199" w:type="dxa"/>
            <w:vAlign w:val="center"/>
          </w:tcPr>
          <w:p>
            <w:pPr>
              <w:spacing w:before="120" w:line="400" w:lineRule="exact"/>
              <w:rPr>
                <w:sz w:val="24"/>
              </w:rPr>
            </w:pPr>
          </w:p>
        </w:tc>
        <w:tc>
          <w:tcPr>
            <w:tcW w:w="2171" w:type="dxa"/>
            <w:vAlign w:val="center"/>
          </w:tcPr>
          <w:p>
            <w:pPr>
              <w:tabs>
                <w:tab w:val="left" w:pos="825"/>
              </w:tabs>
              <w:spacing w:before="120" w:line="400" w:lineRule="exact"/>
              <w:jc w:val="center"/>
              <w:rPr>
                <w:sz w:val="24"/>
              </w:rPr>
            </w:pPr>
          </w:p>
        </w:tc>
        <w:tc>
          <w:tcPr>
            <w:tcW w:w="1890" w:type="dxa"/>
            <w:vAlign w:val="center"/>
          </w:tcPr>
          <w:p>
            <w:pPr>
              <w:tabs>
                <w:tab w:val="left" w:pos="825"/>
              </w:tabs>
              <w:spacing w:before="120" w:line="400" w:lineRule="exact"/>
              <w:jc w:val="center"/>
              <w:rPr>
                <w:sz w:val="24"/>
              </w:rPr>
            </w:pPr>
          </w:p>
        </w:tc>
        <w:tc>
          <w:tcPr>
            <w:tcW w:w="1890" w:type="dxa"/>
            <w:vAlign w:val="center"/>
          </w:tcPr>
          <w:p>
            <w:pPr>
              <w:tabs>
                <w:tab w:val="left" w:pos="825"/>
              </w:tabs>
              <w:spacing w:before="120" w:line="400" w:lineRule="exact"/>
              <w:jc w:val="center"/>
              <w:rPr>
                <w:sz w:val="24"/>
              </w:rPr>
            </w:pPr>
          </w:p>
        </w:tc>
      </w:tr>
    </w:tbl>
    <w:p>
      <w:pPr>
        <w:pStyle w:val="10"/>
        <w:spacing w:before="360" w:line="400" w:lineRule="exact"/>
        <w:rPr>
          <w:u w:val="single"/>
        </w:rPr>
      </w:pPr>
      <w:r>
        <w:rPr>
          <w:rFonts w:hint="eastAsia"/>
        </w:rPr>
        <w:t>采购论证总价大写金额：</w:t>
      </w:r>
    </w:p>
    <w:p>
      <w:pPr>
        <w:spacing w:line="400" w:lineRule="exact"/>
      </w:pPr>
    </w:p>
    <w:p>
      <w:pPr>
        <w:pStyle w:val="2"/>
      </w:pPr>
    </w:p>
    <w:p>
      <w:pPr>
        <w:pStyle w:val="2"/>
      </w:pPr>
    </w:p>
    <w:p>
      <w:pPr>
        <w:pStyle w:val="2"/>
      </w:pPr>
    </w:p>
    <w:p>
      <w:pPr>
        <w:spacing w:line="360" w:lineRule="auto"/>
        <w:rPr>
          <w:sz w:val="24"/>
        </w:rPr>
      </w:pPr>
      <w:r>
        <w:rPr>
          <w:rFonts w:hint="eastAsia"/>
          <w:sz w:val="24"/>
        </w:rPr>
        <w:t>响应人（公章）：</w:t>
      </w:r>
    </w:p>
    <w:p>
      <w:pPr>
        <w:spacing w:line="360" w:lineRule="auto"/>
        <w:rPr>
          <w:sz w:val="24"/>
        </w:rPr>
      </w:pPr>
    </w:p>
    <w:p>
      <w:pPr>
        <w:spacing w:line="360" w:lineRule="auto"/>
        <w:rPr>
          <w:sz w:val="24"/>
        </w:rPr>
      </w:pPr>
      <w:r>
        <w:rPr>
          <w:rFonts w:hint="eastAsia"/>
          <w:sz w:val="24"/>
        </w:rPr>
        <w:t>法定代表人/授权代表（签字）：</w:t>
      </w:r>
    </w:p>
    <w:p>
      <w:pPr>
        <w:spacing w:line="360" w:lineRule="auto"/>
        <w:rPr>
          <w:sz w:val="24"/>
        </w:rPr>
      </w:pPr>
    </w:p>
    <w:p>
      <w:pPr>
        <w:spacing w:line="360" w:lineRule="auto"/>
        <w:rPr>
          <w:sz w:val="24"/>
        </w:rPr>
      </w:pPr>
      <w:r>
        <w:rPr>
          <w:rFonts w:hint="eastAsia"/>
          <w:sz w:val="24"/>
        </w:rPr>
        <w:t>日         期：</w:t>
      </w:r>
    </w:p>
    <w:p>
      <w:pPr>
        <w:spacing w:line="400" w:lineRule="exact"/>
        <w:rPr>
          <w:rFonts w:eastAsia="仿宋_GB2312"/>
          <w:sz w:val="24"/>
        </w:rPr>
      </w:pPr>
    </w:p>
    <w:p>
      <w:pPr>
        <w:spacing w:line="400" w:lineRule="exact"/>
        <w:rPr>
          <w:rFonts w:eastAsia="仿宋_GB2312"/>
          <w:sz w:val="24"/>
        </w:rPr>
      </w:pPr>
    </w:p>
    <w:p>
      <w:pPr>
        <w:pStyle w:val="35"/>
        <w:ind w:firstLine="480"/>
        <w:rPr>
          <w:rFonts w:eastAsia="仿宋_GB2312"/>
          <w:sz w:val="24"/>
          <w:szCs w:val="20"/>
        </w:rPr>
      </w:pPr>
    </w:p>
    <w:p>
      <w:pPr>
        <w:pStyle w:val="35"/>
        <w:ind w:firstLine="480"/>
        <w:rPr>
          <w:rFonts w:eastAsia="仿宋_GB2312"/>
          <w:sz w:val="24"/>
        </w:rPr>
      </w:pPr>
    </w:p>
    <w:p>
      <w:pPr>
        <w:pStyle w:val="35"/>
        <w:ind w:left="0" w:leftChars="0" w:firstLine="0" w:firstLineChars="0"/>
        <w:rPr>
          <w:rFonts w:eastAsia="仿宋_GB2312"/>
          <w:b/>
          <w:bCs/>
          <w:sz w:val="24"/>
        </w:rPr>
      </w:pPr>
    </w:p>
    <w:p>
      <w:pPr>
        <w:pStyle w:val="35"/>
        <w:ind w:left="0" w:leftChars="0" w:firstLine="0" w:firstLineChars="0"/>
        <w:jc w:val="left"/>
        <w:rPr>
          <w:rFonts w:eastAsia="仿宋_GB2312"/>
          <w:b/>
          <w:bCs/>
          <w:sz w:val="24"/>
        </w:rPr>
      </w:pPr>
      <w:r>
        <w:rPr>
          <w:rFonts w:hint="eastAsia" w:ascii="宋体" w:hAnsi="宋体" w:cs="宋体"/>
          <w:sz w:val="24"/>
        </w:rPr>
        <w:t xml:space="preserve">附件五  </w:t>
      </w:r>
    </w:p>
    <w:p>
      <w:pPr>
        <w:spacing w:line="360" w:lineRule="atLeast"/>
        <w:jc w:val="center"/>
        <w:rPr>
          <w:rFonts w:ascii="宋体"/>
          <w:sz w:val="24"/>
        </w:rPr>
      </w:pPr>
      <w:r>
        <w:rPr>
          <w:rFonts w:hint="eastAsia" w:ascii="宋体"/>
          <w:b/>
          <w:sz w:val="28"/>
        </w:rPr>
        <w:t>关于资格的声明函</w:t>
      </w:r>
    </w:p>
    <w:p>
      <w:pPr>
        <w:spacing w:line="360" w:lineRule="atLeast"/>
        <w:rPr>
          <w:rFonts w:ascii="宋体"/>
          <w:sz w:val="24"/>
        </w:rPr>
      </w:pPr>
    </w:p>
    <w:p>
      <w:pPr>
        <w:spacing w:line="360" w:lineRule="atLeast"/>
        <w:rPr>
          <w:rFonts w:ascii="宋体"/>
          <w:sz w:val="24"/>
        </w:rPr>
      </w:pPr>
      <w:r>
        <w:rPr>
          <w:rFonts w:ascii="宋体"/>
        </w:rPr>
        <w:t>___________________________</w:t>
      </w:r>
      <w:r>
        <w:rPr>
          <w:rFonts w:hint="eastAsia" w:ascii="宋体"/>
          <w:sz w:val="24"/>
        </w:rPr>
        <w:t>：</w:t>
      </w:r>
    </w:p>
    <w:p>
      <w:pPr>
        <w:spacing w:line="360" w:lineRule="atLeast"/>
        <w:rPr>
          <w:rFonts w:ascii="宋体"/>
          <w:sz w:val="24"/>
        </w:rPr>
      </w:pPr>
    </w:p>
    <w:p>
      <w:pPr>
        <w:spacing w:line="360" w:lineRule="atLeast"/>
        <w:rPr>
          <w:rFonts w:ascii="宋体"/>
          <w:sz w:val="24"/>
        </w:rPr>
      </w:pP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pPr>
        <w:spacing w:line="360" w:lineRule="atLeast"/>
        <w:rPr>
          <w:rFonts w:ascii="宋体"/>
          <w:sz w:val="24"/>
        </w:rPr>
      </w:pPr>
    </w:p>
    <w:p>
      <w:pPr>
        <w:spacing w:line="360" w:lineRule="atLeast"/>
        <w:rPr>
          <w:rFonts w:ascii="宋体"/>
          <w:sz w:val="24"/>
        </w:rPr>
      </w:pPr>
      <w:r>
        <w:rPr>
          <w:rFonts w:hint="eastAsia" w:ascii="宋体"/>
          <w:sz w:val="24"/>
        </w:rPr>
        <w:t>1</w:t>
      </w:r>
      <w:r>
        <w:rPr>
          <w:rFonts w:ascii="宋体"/>
          <w:sz w:val="24"/>
        </w:rPr>
        <w:t>.</w:t>
      </w:r>
      <w:r>
        <w:rPr>
          <w:rFonts w:hint="eastAsia" w:ascii="宋体"/>
          <w:sz w:val="24"/>
        </w:rPr>
        <w:t>我方的资格报名文件电子版一份。</w:t>
      </w:r>
    </w:p>
    <w:p>
      <w:pPr>
        <w:spacing w:line="360" w:lineRule="atLeast"/>
        <w:rPr>
          <w:rFonts w:ascii="宋体"/>
          <w:sz w:val="24"/>
        </w:rPr>
      </w:pPr>
    </w:p>
    <w:p>
      <w:pPr>
        <w:spacing w:line="360" w:lineRule="atLeast"/>
        <w:rPr>
          <w:rFonts w:ascii="宋体"/>
          <w:sz w:val="24"/>
        </w:rPr>
      </w:pPr>
      <w:r>
        <w:rPr>
          <w:rFonts w:hint="eastAsia" w:ascii="宋体"/>
          <w:sz w:val="24"/>
        </w:rPr>
        <w:t>2</w:t>
      </w:r>
      <w:r>
        <w:rPr>
          <w:rFonts w:ascii="宋体"/>
          <w:sz w:val="24"/>
        </w:rPr>
        <w:t>.</w:t>
      </w:r>
      <w:r>
        <w:rPr>
          <w:rFonts w:hint="eastAsia" w:ascii="宋体"/>
          <w:sz w:val="24"/>
        </w:rPr>
        <w:t>本签字人确认资格报名文件中的说明是真实的、准确的。</w:t>
      </w:r>
    </w:p>
    <w:p>
      <w:pPr>
        <w:spacing w:line="360" w:lineRule="atLeast"/>
        <w:rPr>
          <w:rFonts w:ascii="宋体"/>
          <w:sz w:val="24"/>
        </w:rPr>
      </w:pPr>
    </w:p>
    <w:p>
      <w:pPr>
        <w:spacing w:line="360" w:lineRule="atLeast"/>
        <w:rPr>
          <w:rFonts w:ascii="宋体"/>
          <w:sz w:val="24"/>
        </w:rPr>
      </w:pPr>
    </w:p>
    <w:p>
      <w:pPr>
        <w:spacing w:beforeLines="50" w:line="400" w:lineRule="exact"/>
        <w:ind w:firstLine="360" w:firstLineChars="150"/>
        <w:rPr>
          <w:sz w:val="24"/>
        </w:rPr>
      </w:pPr>
      <w:r>
        <w:rPr>
          <w:rFonts w:hint="eastAsia"/>
          <w:sz w:val="24"/>
        </w:rPr>
        <w:t>响应人名称（盖章）：</w:t>
      </w:r>
      <w:r>
        <w:rPr>
          <w:sz w:val="24"/>
        </w:rPr>
        <w:t>___________________</w:t>
      </w:r>
    </w:p>
    <w:p>
      <w:pPr>
        <w:spacing w:beforeLines="50" w:line="400" w:lineRule="exact"/>
        <w:ind w:firstLine="360" w:firstLineChars="150"/>
        <w:rPr>
          <w:sz w:val="24"/>
        </w:rPr>
      </w:pPr>
      <w:r>
        <w:rPr>
          <w:rFonts w:hint="eastAsia"/>
          <w:sz w:val="24"/>
        </w:rPr>
        <w:t>法定代表人/授权代表（签字）：</w:t>
      </w:r>
      <w:r>
        <w:rPr>
          <w:sz w:val="24"/>
        </w:rPr>
        <w:t>___________________</w:t>
      </w:r>
    </w:p>
    <w:p>
      <w:pPr>
        <w:spacing w:beforeLines="50" w:line="400" w:lineRule="exact"/>
        <w:ind w:firstLine="360" w:firstLineChars="150"/>
        <w:rPr>
          <w:sz w:val="24"/>
        </w:rPr>
      </w:pPr>
      <w:r>
        <w:rPr>
          <w:rFonts w:hint="eastAsia"/>
          <w:sz w:val="24"/>
        </w:rPr>
        <w:t>日   期：</w:t>
      </w:r>
      <w:r>
        <w:rPr>
          <w:sz w:val="24"/>
        </w:rPr>
        <w:t xml:space="preserve">___________________     </w:t>
      </w:r>
    </w:p>
    <w:p>
      <w:pPr>
        <w:pStyle w:val="35"/>
        <w:ind w:left="0" w:leftChars="0" w:firstLine="0" w:firstLineChars="0"/>
        <w:jc w:val="center"/>
        <w:rPr>
          <w:rFonts w:eastAsia="仿宋_GB2312"/>
          <w:b/>
          <w:bCs/>
          <w:sz w:val="24"/>
        </w:rPr>
      </w:pPr>
    </w:p>
    <w:p>
      <w:pPr>
        <w:pStyle w:val="35"/>
        <w:ind w:left="0" w:leftChars="0" w:firstLine="0" w:firstLineChars="0"/>
        <w:rPr>
          <w:rFonts w:eastAsia="仿宋_GB2312"/>
          <w:sz w:val="24"/>
        </w:rPr>
      </w:pPr>
    </w:p>
    <w:p>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pPr>
        <w:spacing w:line="600" w:lineRule="exact"/>
        <w:jc w:val="left"/>
        <w:rPr>
          <w:rFonts w:ascii="宋体"/>
          <w:b/>
          <w:sz w:val="28"/>
          <w:szCs w:val="28"/>
        </w:rPr>
      </w:pPr>
      <w:r>
        <w:rPr>
          <w:rFonts w:hint="eastAsia" w:ascii="宋体"/>
          <w:sz w:val="24"/>
          <w:szCs w:val="24"/>
        </w:rPr>
        <w:t>附件六</w:t>
      </w:r>
    </w:p>
    <w:p>
      <w:pPr>
        <w:spacing w:line="360" w:lineRule="atLeast"/>
        <w:jc w:val="center"/>
        <w:rPr>
          <w:rFonts w:ascii="宋体"/>
          <w:b/>
          <w:sz w:val="28"/>
        </w:rPr>
      </w:pPr>
      <w:r>
        <w:rPr>
          <w:rFonts w:hint="eastAsia" w:ascii="宋体"/>
          <w:b/>
          <w:sz w:val="28"/>
        </w:rPr>
        <w:t>响应人单位情况表</w:t>
      </w:r>
    </w:p>
    <w:p>
      <w:pPr>
        <w:spacing w:line="360" w:lineRule="atLeast"/>
        <w:jc w:val="center"/>
        <w:rPr>
          <w:rFonts w:ascii="宋体"/>
          <w:b/>
          <w:sz w:val="30"/>
        </w:rPr>
      </w:pPr>
    </w:p>
    <w:p>
      <w:pPr>
        <w:spacing w:line="360" w:lineRule="atLeast"/>
        <w:rPr>
          <w:b/>
        </w:rPr>
      </w:pPr>
    </w:p>
    <w:p>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19"/>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pPr>
              <w:spacing w:line="360" w:lineRule="atLeast"/>
              <w:jc w:val="center"/>
            </w:pPr>
            <w:r>
              <w:rPr>
                <w:rFonts w:hint="eastAsia"/>
              </w:rPr>
              <w:t>响应人单位名称</w:t>
            </w:r>
          </w:p>
        </w:tc>
        <w:tc>
          <w:tcPr>
            <w:tcW w:w="7875" w:type="dxa"/>
            <w:gridSpan w:val="10"/>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pPr>
              <w:spacing w:line="360" w:lineRule="atLeast"/>
              <w:jc w:val="center"/>
            </w:pPr>
            <w:r>
              <w:rPr>
                <w:rFonts w:hint="eastAsia"/>
              </w:rPr>
              <w:t>详细地址</w:t>
            </w:r>
          </w:p>
        </w:tc>
        <w:tc>
          <w:tcPr>
            <w:tcW w:w="7875" w:type="dxa"/>
            <w:gridSpan w:val="10"/>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pPr>
              <w:spacing w:line="360" w:lineRule="atLeast"/>
              <w:jc w:val="center"/>
            </w:pPr>
            <w:r>
              <w:rPr>
                <w:rFonts w:hint="eastAsia"/>
              </w:rPr>
              <w:t>主管部门</w:t>
            </w:r>
          </w:p>
        </w:tc>
        <w:tc>
          <w:tcPr>
            <w:tcW w:w="1575" w:type="dxa"/>
            <w:gridSpan w:val="2"/>
          </w:tcPr>
          <w:p>
            <w:pPr>
              <w:spacing w:line="360" w:lineRule="atLeast"/>
              <w:jc w:val="center"/>
            </w:pPr>
          </w:p>
        </w:tc>
        <w:tc>
          <w:tcPr>
            <w:tcW w:w="1470" w:type="dxa"/>
            <w:gridSpan w:val="2"/>
          </w:tcPr>
          <w:p>
            <w:pPr>
              <w:spacing w:line="360" w:lineRule="atLeast"/>
              <w:jc w:val="center"/>
            </w:pPr>
            <w:r>
              <w:rPr>
                <w:rFonts w:hint="eastAsia"/>
              </w:rPr>
              <w:t>法人代表</w:t>
            </w:r>
          </w:p>
        </w:tc>
        <w:tc>
          <w:tcPr>
            <w:tcW w:w="1680" w:type="dxa"/>
            <w:gridSpan w:val="3"/>
          </w:tcPr>
          <w:p>
            <w:pPr>
              <w:spacing w:line="360" w:lineRule="atLeast"/>
              <w:jc w:val="center"/>
            </w:pPr>
          </w:p>
        </w:tc>
        <w:tc>
          <w:tcPr>
            <w:tcW w:w="945" w:type="dxa"/>
          </w:tcPr>
          <w:p>
            <w:pPr>
              <w:spacing w:line="360" w:lineRule="atLeast"/>
              <w:jc w:val="center"/>
            </w:pPr>
            <w:r>
              <w:rPr>
                <w:rFonts w:hint="eastAsia"/>
              </w:rPr>
              <w:t>职务</w:t>
            </w:r>
          </w:p>
        </w:tc>
        <w:tc>
          <w:tcPr>
            <w:tcW w:w="2205" w:type="dxa"/>
            <w:gridSpan w:val="2"/>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pPr>
              <w:spacing w:line="360" w:lineRule="atLeast"/>
              <w:jc w:val="center"/>
            </w:pPr>
            <w:r>
              <w:rPr>
                <w:rFonts w:hint="eastAsia"/>
              </w:rPr>
              <w:t>经济类型</w:t>
            </w:r>
          </w:p>
        </w:tc>
        <w:tc>
          <w:tcPr>
            <w:tcW w:w="1575" w:type="dxa"/>
            <w:gridSpan w:val="2"/>
          </w:tcPr>
          <w:p>
            <w:pPr>
              <w:spacing w:line="360" w:lineRule="atLeast"/>
              <w:jc w:val="center"/>
            </w:pPr>
          </w:p>
        </w:tc>
        <w:tc>
          <w:tcPr>
            <w:tcW w:w="1470" w:type="dxa"/>
            <w:gridSpan w:val="2"/>
          </w:tcPr>
          <w:p>
            <w:pPr>
              <w:spacing w:line="360" w:lineRule="atLeast"/>
              <w:jc w:val="center"/>
            </w:pPr>
            <w:r>
              <w:rPr>
                <w:rFonts w:hint="eastAsia"/>
              </w:rPr>
              <w:t>授权代表</w:t>
            </w:r>
          </w:p>
        </w:tc>
        <w:tc>
          <w:tcPr>
            <w:tcW w:w="1680" w:type="dxa"/>
            <w:gridSpan w:val="3"/>
          </w:tcPr>
          <w:p>
            <w:pPr>
              <w:spacing w:line="360" w:lineRule="atLeast"/>
              <w:jc w:val="center"/>
            </w:pPr>
          </w:p>
        </w:tc>
        <w:tc>
          <w:tcPr>
            <w:tcW w:w="945" w:type="dxa"/>
          </w:tcPr>
          <w:p>
            <w:pPr>
              <w:spacing w:line="360" w:lineRule="atLeast"/>
              <w:jc w:val="center"/>
            </w:pPr>
            <w:r>
              <w:rPr>
                <w:rFonts w:hint="eastAsia"/>
              </w:rPr>
              <w:t>职务</w:t>
            </w:r>
          </w:p>
        </w:tc>
        <w:tc>
          <w:tcPr>
            <w:tcW w:w="2205" w:type="dxa"/>
            <w:gridSpan w:val="2"/>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pPr>
              <w:spacing w:line="360" w:lineRule="atLeast"/>
              <w:jc w:val="center"/>
            </w:pPr>
            <w:r>
              <w:rPr>
                <w:rFonts w:hint="eastAsia"/>
              </w:rPr>
              <w:t>邮政编码</w:t>
            </w:r>
          </w:p>
        </w:tc>
        <w:tc>
          <w:tcPr>
            <w:tcW w:w="1575" w:type="dxa"/>
            <w:gridSpan w:val="2"/>
          </w:tcPr>
          <w:p>
            <w:pPr>
              <w:spacing w:line="360" w:lineRule="atLeast"/>
              <w:jc w:val="center"/>
            </w:pPr>
          </w:p>
        </w:tc>
        <w:tc>
          <w:tcPr>
            <w:tcW w:w="1470" w:type="dxa"/>
            <w:gridSpan w:val="2"/>
          </w:tcPr>
          <w:p>
            <w:pPr>
              <w:spacing w:line="360" w:lineRule="atLeast"/>
              <w:jc w:val="center"/>
            </w:pPr>
            <w:r>
              <w:rPr>
                <w:rFonts w:hint="eastAsia"/>
              </w:rPr>
              <w:t>电话</w:t>
            </w:r>
          </w:p>
        </w:tc>
        <w:tc>
          <w:tcPr>
            <w:tcW w:w="1680" w:type="dxa"/>
            <w:gridSpan w:val="3"/>
          </w:tcPr>
          <w:p>
            <w:pPr>
              <w:spacing w:line="360" w:lineRule="atLeast"/>
              <w:jc w:val="center"/>
            </w:pPr>
          </w:p>
        </w:tc>
        <w:tc>
          <w:tcPr>
            <w:tcW w:w="945" w:type="dxa"/>
          </w:tcPr>
          <w:p>
            <w:pPr>
              <w:spacing w:line="360" w:lineRule="atLeast"/>
              <w:jc w:val="center"/>
            </w:pPr>
            <w:r>
              <w:rPr>
                <w:rFonts w:hint="eastAsia"/>
              </w:rPr>
              <w:t>传真</w:t>
            </w:r>
          </w:p>
        </w:tc>
        <w:tc>
          <w:tcPr>
            <w:tcW w:w="2205" w:type="dxa"/>
            <w:gridSpan w:val="2"/>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pPr>
              <w:spacing w:line="360" w:lineRule="atLeast"/>
              <w:jc w:val="center"/>
            </w:pPr>
          </w:p>
          <w:p>
            <w:pPr>
              <w:spacing w:line="360" w:lineRule="atLeast"/>
              <w:jc w:val="center"/>
            </w:pPr>
            <w:r>
              <w:rPr>
                <w:rFonts w:hint="eastAsia"/>
              </w:rPr>
              <w:t>单位简历</w:t>
            </w:r>
          </w:p>
          <w:p>
            <w:pPr>
              <w:spacing w:line="360" w:lineRule="atLeast"/>
              <w:jc w:val="center"/>
            </w:pPr>
            <w:r>
              <w:rPr>
                <w:rFonts w:hint="eastAsia"/>
              </w:rPr>
              <w:t>及机构</w:t>
            </w:r>
          </w:p>
        </w:tc>
        <w:tc>
          <w:tcPr>
            <w:tcW w:w="7875" w:type="dxa"/>
            <w:gridSpan w:val="10"/>
          </w:tcPr>
          <w:p>
            <w:pPr>
              <w:spacing w:line="360" w:lineRule="atLeas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pPr>
              <w:spacing w:line="360" w:lineRule="atLeast"/>
              <w:jc w:val="center"/>
            </w:pPr>
            <w:r>
              <w:rPr>
                <w:rFonts w:hint="eastAsia"/>
              </w:rPr>
              <w:t>单位优势</w:t>
            </w:r>
          </w:p>
          <w:p>
            <w:pPr>
              <w:spacing w:line="360" w:lineRule="atLeast"/>
              <w:jc w:val="center"/>
            </w:pPr>
            <w:r>
              <w:rPr>
                <w:rFonts w:hint="eastAsia"/>
              </w:rPr>
              <w:t>及特长</w:t>
            </w:r>
          </w:p>
        </w:tc>
        <w:tc>
          <w:tcPr>
            <w:tcW w:w="7875" w:type="dxa"/>
            <w:gridSpan w:val="10"/>
            <w:tcBorders>
              <w:bottom w:val="nil"/>
            </w:tcBorders>
          </w:tcPr>
          <w:p>
            <w:pPr>
              <w:spacing w:line="360" w:lineRule="atLeas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pPr>
              <w:spacing w:line="360" w:lineRule="atLeast"/>
            </w:pPr>
          </w:p>
          <w:p>
            <w:pPr>
              <w:spacing w:line="360" w:lineRule="atLeast"/>
            </w:pPr>
            <w:r>
              <w:rPr>
                <w:rFonts w:hint="eastAsia"/>
              </w:rPr>
              <w:t>单</w:t>
            </w:r>
          </w:p>
          <w:p>
            <w:pPr>
              <w:spacing w:line="360" w:lineRule="atLeast"/>
            </w:pPr>
            <w:r>
              <w:rPr>
                <w:rFonts w:hint="eastAsia"/>
              </w:rPr>
              <w:t>位</w:t>
            </w:r>
          </w:p>
          <w:p>
            <w:pPr>
              <w:spacing w:line="360" w:lineRule="atLeast"/>
            </w:pPr>
            <w:r>
              <w:rPr>
                <w:rFonts w:hint="eastAsia"/>
              </w:rPr>
              <w:t>概</w:t>
            </w:r>
          </w:p>
          <w:p>
            <w:pPr>
              <w:spacing w:line="360" w:lineRule="atLeast"/>
            </w:pPr>
            <w:r>
              <w:rPr>
                <w:rFonts w:hint="eastAsia"/>
              </w:rPr>
              <w:t>况</w:t>
            </w:r>
          </w:p>
        </w:tc>
        <w:tc>
          <w:tcPr>
            <w:tcW w:w="945" w:type="dxa"/>
            <w:vMerge w:val="restart"/>
          </w:tcPr>
          <w:p>
            <w:pPr>
              <w:spacing w:line="360" w:lineRule="atLeast"/>
              <w:jc w:val="center"/>
            </w:pPr>
            <w:r>
              <w:rPr>
                <w:rFonts w:hint="eastAsia"/>
              </w:rPr>
              <w:t>职工</w:t>
            </w:r>
          </w:p>
          <w:p>
            <w:pPr>
              <w:spacing w:line="360" w:lineRule="atLeast"/>
              <w:jc w:val="center"/>
            </w:pPr>
            <w:r>
              <w:rPr>
                <w:rFonts w:hint="eastAsia"/>
              </w:rPr>
              <w:t>总数</w:t>
            </w:r>
          </w:p>
        </w:tc>
        <w:tc>
          <w:tcPr>
            <w:tcW w:w="2415" w:type="dxa"/>
            <w:gridSpan w:val="4"/>
            <w:vMerge w:val="restart"/>
          </w:tcPr>
          <w:p>
            <w:pPr>
              <w:spacing w:line="360" w:lineRule="atLeast"/>
              <w:jc w:val="right"/>
            </w:pPr>
            <w:r>
              <w:rPr>
                <w:rFonts w:hint="eastAsia"/>
              </w:rPr>
              <w:t>人</w:t>
            </w:r>
          </w:p>
        </w:tc>
        <w:tc>
          <w:tcPr>
            <w:tcW w:w="4515" w:type="dxa"/>
            <w:gridSpan w:val="5"/>
          </w:tcPr>
          <w:p>
            <w:pPr>
              <w:spacing w:line="360" w:lineRule="atLeast"/>
            </w:pPr>
            <w:r>
              <w:rPr>
                <w:rFonts w:hint="eastAsia"/>
              </w:rPr>
              <w:t>生产工人（如有）人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pPr>
              <w:spacing w:line="360" w:lineRule="atLeast"/>
            </w:pPr>
          </w:p>
        </w:tc>
        <w:tc>
          <w:tcPr>
            <w:tcW w:w="945" w:type="dxa"/>
            <w:vMerge w:val="continue"/>
          </w:tcPr>
          <w:p>
            <w:pPr>
              <w:spacing w:line="360" w:lineRule="atLeast"/>
              <w:jc w:val="center"/>
            </w:pPr>
          </w:p>
        </w:tc>
        <w:tc>
          <w:tcPr>
            <w:tcW w:w="2415" w:type="dxa"/>
            <w:gridSpan w:val="4"/>
            <w:vMerge w:val="continue"/>
          </w:tcPr>
          <w:p>
            <w:pPr>
              <w:spacing w:line="360" w:lineRule="atLeast"/>
            </w:pPr>
          </w:p>
        </w:tc>
        <w:tc>
          <w:tcPr>
            <w:tcW w:w="4515" w:type="dxa"/>
            <w:gridSpan w:val="5"/>
          </w:tcPr>
          <w:p>
            <w:pPr>
              <w:spacing w:line="360" w:lineRule="atLeast"/>
            </w:pPr>
            <w:r>
              <w:rPr>
                <w:rFonts w:hint="eastAsia"/>
              </w:rPr>
              <w:t>技术人员（如有）人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pPr>
              <w:spacing w:line="360" w:lineRule="atLeast"/>
            </w:pPr>
          </w:p>
        </w:tc>
        <w:tc>
          <w:tcPr>
            <w:tcW w:w="945" w:type="dxa"/>
            <w:vMerge w:val="restart"/>
          </w:tcPr>
          <w:p>
            <w:pPr>
              <w:spacing w:line="360" w:lineRule="atLeast"/>
              <w:jc w:val="center"/>
            </w:pPr>
            <w:r>
              <w:rPr>
                <w:rFonts w:hint="eastAsia"/>
              </w:rPr>
              <w:t>流动</w:t>
            </w:r>
          </w:p>
          <w:p>
            <w:pPr>
              <w:spacing w:line="360" w:lineRule="atLeast"/>
              <w:jc w:val="center"/>
            </w:pPr>
            <w:r>
              <w:rPr>
                <w:rFonts w:hint="eastAsia"/>
              </w:rPr>
              <w:t>资金</w:t>
            </w:r>
          </w:p>
        </w:tc>
        <w:tc>
          <w:tcPr>
            <w:tcW w:w="2415" w:type="dxa"/>
            <w:gridSpan w:val="4"/>
            <w:vMerge w:val="restart"/>
          </w:tcPr>
          <w:p>
            <w:pPr>
              <w:spacing w:line="360" w:lineRule="atLeast"/>
              <w:jc w:val="right"/>
            </w:pPr>
            <w:r>
              <w:rPr>
                <w:rFonts w:hint="eastAsia"/>
              </w:rPr>
              <w:t>万元</w:t>
            </w:r>
          </w:p>
        </w:tc>
        <w:tc>
          <w:tcPr>
            <w:tcW w:w="840" w:type="dxa"/>
            <w:vMerge w:val="restart"/>
          </w:tcPr>
          <w:p>
            <w:pPr>
              <w:spacing w:line="360" w:lineRule="atLeast"/>
            </w:pPr>
            <w:r>
              <w:rPr>
                <w:rFonts w:hint="eastAsia"/>
              </w:rPr>
              <w:t>资金</w:t>
            </w:r>
          </w:p>
          <w:p>
            <w:pPr>
              <w:spacing w:line="360" w:lineRule="atLeast"/>
            </w:pPr>
            <w:r>
              <w:rPr>
                <w:rFonts w:hint="eastAsia"/>
              </w:rPr>
              <w:t>来源</w:t>
            </w:r>
          </w:p>
        </w:tc>
        <w:tc>
          <w:tcPr>
            <w:tcW w:w="1575" w:type="dxa"/>
            <w:gridSpan w:val="3"/>
          </w:tcPr>
          <w:p>
            <w:pPr>
              <w:spacing w:line="360" w:lineRule="atLeast"/>
            </w:pPr>
            <w:r>
              <w:rPr>
                <w:rFonts w:hint="eastAsia"/>
              </w:rPr>
              <w:t>自有资金</w:t>
            </w:r>
          </w:p>
        </w:tc>
        <w:tc>
          <w:tcPr>
            <w:tcW w:w="2100" w:type="dxa"/>
          </w:tcPr>
          <w:p>
            <w:pPr>
              <w:spacing w:line="360" w:lineRule="atLeast"/>
              <w:jc w:val="right"/>
            </w:pP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pPr>
              <w:spacing w:line="360" w:lineRule="atLeast"/>
            </w:pPr>
          </w:p>
        </w:tc>
        <w:tc>
          <w:tcPr>
            <w:tcW w:w="945" w:type="dxa"/>
            <w:vMerge w:val="continue"/>
            <w:tcBorders>
              <w:bottom w:val="nil"/>
            </w:tcBorders>
          </w:tcPr>
          <w:p>
            <w:pPr>
              <w:spacing w:line="360" w:lineRule="atLeast"/>
              <w:jc w:val="center"/>
            </w:pPr>
          </w:p>
        </w:tc>
        <w:tc>
          <w:tcPr>
            <w:tcW w:w="2415" w:type="dxa"/>
            <w:gridSpan w:val="4"/>
            <w:vMerge w:val="continue"/>
            <w:tcBorders>
              <w:bottom w:val="nil"/>
            </w:tcBorders>
          </w:tcPr>
          <w:p>
            <w:pPr>
              <w:spacing w:line="360" w:lineRule="atLeast"/>
            </w:pPr>
          </w:p>
        </w:tc>
        <w:tc>
          <w:tcPr>
            <w:tcW w:w="840" w:type="dxa"/>
            <w:vMerge w:val="continue"/>
            <w:tcBorders>
              <w:bottom w:val="nil"/>
            </w:tcBorders>
          </w:tcPr>
          <w:p>
            <w:pPr>
              <w:spacing w:line="360" w:lineRule="atLeast"/>
            </w:pPr>
          </w:p>
        </w:tc>
        <w:tc>
          <w:tcPr>
            <w:tcW w:w="1575" w:type="dxa"/>
            <w:gridSpan w:val="3"/>
            <w:tcBorders>
              <w:bottom w:val="nil"/>
            </w:tcBorders>
          </w:tcPr>
          <w:p>
            <w:pPr>
              <w:spacing w:line="360" w:lineRule="atLeast"/>
            </w:pPr>
            <w:r>
              <w:rPr>
                <w:rFonts w:hint="eastAsia"/>
              </w:rPr>
              <w:t>银行贷款</w:t>
            </w:r>
          </w:p>
        </w:tc>
        <w:tc>
          <w:tcPr>
            <w:tcW w:w="2100" w:type="dxa"/>
            <w:tcBorders>
              <w:bottom w:val="nil"/>
            </w:tcBorders>
          </w:tcPr>
          <w:p>
            <w:pPr>
              <w:spacing w:line="360" w:lineRule="atLeast"/>
              <w:jc w:val="right"/>
            </w:pP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pPr>
              <w:spacing w:line="360" w:lineRule="atLeast"/>
            </w:pPr>
          </w:p>
        </w:tc>
        <w:tc>
          <w:tcPr>
            <w:tcW w:w="945" w:type="dxa"/>
            <w:vMerge w:val="restart"/>
          </w:tcPr>
          <w:p>
            <w:pPr>
              <w:spacing w:line="360" w:lineRule="atLeast"/>
              <w:jc w:val="center"/>
            </w:pPr>
            <w:r>
              <w:rPr>
                <w:rFonts w:hint="eastAsia"/>
              </w:rPr>
              <w:t>固定</w:t>
            </w:r>
          </w:p>
          <w:p>
            <w:pPr>
              <w:spacing w:line="360" w:lineRule="atLeast"/>
              <w:jc w:val="center"/>
            </w:pPr>
            <w:r>
              <w:rPr>
                <w:rFonts w:hint="eastAsia"/>
              </w:rPr>
              <w:t>资产</w:t>
            </w:r>
          </w:p>
        </w:tc>
        <w:tc>
          <w:tcPr>
            <w:tcW w:w="2415" w:type="dxa"/>
            <w:gridSpan w:val="4"/>
          </w:tcPr>
          <w:p>
            <w:pPr>
              <w:spacing w:line="360" w:lineRule="atLeast"/>
            </w:pPr>
            <w:r>
              <w:rPr>
                <w:rFonts w:hint="eastAsia"/>
              </w:rPr>
              <w:t>原值万元</w:t>
            </w:r>
          </w:p>
        </w:tc>
        <w:tc>
          <w:tcPr>
            <w:tcW w:w="840" w:type="dxa"/>
            <w:vMerge w:val="restart"/>
          </w:tcPr>
          <w:p>
            <w:pPr>
              <w:spacing w:line="360" w:lineRule="atLeast"/>
            </w:pPr>
            <w:r>
              <w:rPr>
                <w:rFonts w:hint="eastAsia"/>
              </w:rPr>
              <w:t>资金</w:t>
            </w:r>
          </w:p>
          <w:p>
            <w:pPr>
              <w:spacing w:line="360" w:lineRule="atLeast"/>
            </w:pPr>
            <w:r>
              <w:rPr>
                <w:rFonts w:hint="eastAsia"/>
              </w:rPr>
              <w:t>性质</w:t>
            </w:r>
          </w:p>
        </w:tc>
        <w:tc>
          <w:tcPr>
            <w:tcW w:w="1575" w:type="dxa"/>
            <w:gridSpan w:val="3"/>
          </w:tcPr>
          <w:p>
            <w:pPr>
              <w:spacing w:line="360" w:lineRule="atLeast"/>
            </w:pPr>
            <w:r>
              <w:rPr>
                <w:rFonts w:hint="eastAsia"/>
              </w:rPr>
              <w:t>生产性</w:t>
            </w:r>
          </w:p>
        </w:tc>
        <w:tc>
          <w:tcPr>
            <w:tcW w:w="2100" w:type="dxa"/>
          </w:tcPr>
          <w:p>
            <w:pPr>
              <w:spacing w:line="360" w:lineRule="atLeast"/>
              <w:jc w:val="right"/>
            </w:pP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pPr>
              <w:spacing w:line="360" w:lineRule="atLeast"/>
            </w:pPr>
          </w:p>
        </w:tc>
        <w:tc>
          <w:tcPr>
            <w:tcW w:w="945" w:type="dxa"/>
            <w:vMerge w:val="continue"/>
            <w:tcBorders>
              <w:bottom w:val="nil"/>
            </w:tcBorders>
          </w:tcPr>
          <w:p>
            <w:pPr>
              <w:spacing w:line="360" w:lineRule="atLeast"/>
              <w:jc w:val="center"/>
            </w:pPr>
          </w:p>
        </w:tc>
        <w:tc>
          <w:tcPr>
            <w:tcW w:w="2415" w:type="dxa"/>
            <w:gridSpan w:val="4"/>
            <w:tcBorders>
              <w:bottom w:val="nil"/>
            </w:tcBorders>
          </w:tcPr>
          <w:p>
            <w:pPr>
              <w:spacing w:line="360" w:lineRule="atLeast"/>
            </w:pPr>
            <w:r>
              <w:rPr>
                <w:rFonts w:hint="eastAsia"/>
              </w:rPr>
              <w:t>净值万元</w:t>
            </w:r>
          </w:p>
        </w:tc>
        <w:tc>
          <w:tcPr>
            <w:tcW w:w="840" w:type="dxa"/>
            <w:vMerge w:val="continue"/>
            <w:tcBorders>
              <w:bottom w:val="nil"/>
            </w:tcBorders>
          </w:tcPr>
          <w:p>
            <w:pPr>
              <w:spacing w:line="360" w:lineRule="atLeast"/>
            </w:pPr>
          </w:p>
        </w:tc>
        <w:tc>
          <w:tcPr>
            <w:tcW w:w="1575" w:type="dxa"/>
            <w:gridSpan w:val="3"/>
            <w:tcBorders>
              <w:bottom w:val="nil"/>
            </w:tcBorders>
          </w:tcPr>
          <w:p>
            <w:pPr>
              <w:spacing w:line="360" w:lineRule="atLeast"/>
            </w:pPr>
            <w:r>
              <w:rPr>
                <w:rFonts w:hint="eastAsia"/>
              </w:rPr>
              <w:t>非生产性</w:t>
            </w:r>
          </w:p>
        </w:tc>
        <w:tc>
          <w:tcPr>
            <w:tcW w:w="2100" w:type="dxa"/>
            <w:tcBorders>
              <w:bottom w:val="nil"/>
            </w:tcBorders>
          </w:tcPr>
          <w:p>
            <w:pPr>
              <w:spacing w:line="360" w:lineRule="atLeast"/>
              <w:jc w:val="right"/>
            </w:pP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pPr>
              <w:pBdr>
                <w:top w:val="single" w:color="auto" w:sz="6" w:space="1"/>
              </w:pBdr>
              <w:spacing w:line="360" w:lineRule="atLeast"/>
              <w:jc w:val="center"/>
            </w:pPr>
          </w:p>
          <w:p>
            <w:pPr>
              <w:pBdr>
                <w:top w:val="single" w:color="auto" w:sz="6" w:space="1"/>
              </w:pBdr>
              <w:spacing w:line="360" w:lineRule="atLeast"/>
              <w:jc w:val="center"/>
            </w:pPr>
            <w:r>
              <w:rPr>
                <w:rFonts w:hint="eastAsia"/>
              </w:rPr>
              <w:t xml:space="preserve">企业财    </w:t>
            </w:r>
          </w:p>
          <w:p>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pPr>
              <w:spacing w:line="360" w:lineRule="atLeast"/>
              <w:jc w:val="center"/>
            </w:pPr>
          </w:p>
        </w:tc>
        <w:tc>
          <w:tcPr>
            <w:tcW w:w="1155" w:type="dxa"/>
            <w:gridSpan w:val="2"/>
          </w:tcPr>
          <w:p>
            <w:pPr>
              <w:spacing w:line="360" w:lineRule="atLeast"/>
              <w:jc w:val="center"/>
            </w:pPr>
            <w:r>
              <w:rPr>
                <w:rFonts w:hint="eastAsia"/>
              </w:rPr>
              <w:t>收入总额</w:t>
            </w:r>
          </w:p>
        </w:tc>
        <w:tc>
          <w:tcPr>
            <w:tcW w:w="2100" w:type="dxa"/>
            <w:gridSpan w:val="3"/>
          </w:tcPr>
          <w:p>
            <w:pPr>
              <w:spacing w:line="360" w:lineRule="atLeast"/>
              <w:jc w:val="center"/>
            </w:pPr>
            <w:r>
              <w:rPr>
                <w:rFonts w:hint="eastAsia"/>
              </w:rPr>
              <w:t>利润总额</w:t>
            </w:r>
          </w:p>
        </w:tc>
        <w:tc>
          <w:tcPr>
            <w:tcW w:w="1575" w:type="dxa"/>
            <w:gridSpan w:val="3"/>
          </w:tcPr>
          <w:p>
            <w:pPr>
              <w:spacing w:line="360" w:lineRule="atLeast"/>
              <w:jc w:val="center"/>
            </w:pPr>
            <w:r>
              <w:rPr>
                <w:rFonts w:hint="eastAsia"/>
              </w:rPr>
              <w:t>税后利润</w:t>
            </w:r>
          </w:p>
        </w:tc>
        <w:tc>
          <w:tcPr>
            <w:tcW w:w="2100" w:type="dxa"/>
          </w:tcPr>
          <w:p>
            <w:pPr>
              <w:spacing w:line="360" w:lineRule="atLeast"/>
              <w:jc w:val="center"/>
            </w:pPr>
            <w:r>
              <w:rPr>
                <w:rFonts w:hint="eastAsia"/>
              </w:rPr>
              <w:t>负债总额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pPr>
              <w:spacing w:line="360" w:lineRule="atLeast"/>
            </w:pPr>
          </w:p>
        </w:tc>
        <w:tc>
          <w:tcPr>
            <w:tcW w:w="945" w:type="dxa"/>
            <w:tcBorders>
              <w:top w:val="single" w:color="000000" w:sz="6" w:space="0"/>
              <w:left w:val="single" w:color="000000" w:sz="6" w:space="0"/>
            </w:tcBorders>
          </w:tcPr>
          <w:p>
            <w:pPr>
              <w:spacing w:line="360" w:lineRule="atLeast"/>
              <w:jc w:val="center"/>
            </w:pPr>
            <w:r>
              <w:rPr>
                <w:rFonts w:hint="eastAsia"/>
              </w:rPr>
              <w:t>2019年</w:t>
            </w:r>
          </w:p>
        </w:tc>
        <w:tc>
          <w:tcPr>
            <w:tcW w:w="1155" w:type="dxa"/>
            <w:gridSpan w:val="2"/>
          </w:tcPr>
          <w:p>
            <w:pPr>
              <w:spacing w:line="360" w:lineRule="atLeast"/>
            </w:pPr>
          </w:p>
        </w:tc>
        <w:tc>
          <w:tcPr>
            <w:tcW w:w="2100" w:type="dxa"/>
            <w:gridSpan w:val="3"/>
          </w:tcPr>
          <w:p>
            <w:pPr>
              <w:spacing w:line="360" w:lineRule="atLeast"/>
            </w:pPr>
          </w:p>
        </w:tc>
        <w:tc>
          <w:tcPr>
            <w:tcW w:w="1575" w:type="dxa"/>
            <w:gridSpan w:val="3"/>
          </w:tcPr>
          <w:p>
            <w:pPr>
              <w:spacing w:line="360" w:lineRule="atLeast"/>
            </w:pPr>
          </w:p>
        </w:tc>
        <w:tc>
          <w:tcPr>
            <w:tcW w:w="2100" w:type="dxa"/>
          </w:tcPr>
          <w:p>
            <w:pPr>
              <w:spacing w:line="360" w:lineRule="atLeas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pPr>
              <w:spacing w:line="360" w:lineRule="atLeast"/>
            </w:pPr>
          </w:p>
        </w:tc>
        <w:tc>
          <w:tcPr>
            <w:tcW w:w="945" w:type="dxa"/>
            <w:tcBorders>
              <w:bottom w:val="single" w:color="000000" w:sz="6" w:space="0"/>
            </w:tcBorders>
          </w:tcPr>
          <w:p>
            <w:pPr>
              <w:spacing w:line="360" w:lineRule="atLeast"/>
              <w:jc w:val="center"/>
            </w:pPr>
            <w:r>
              <w:rPr>
                <w:rFonts w:hint="eastAsia"/>
              </w:rPr>
              <w:t>2020年</w:t>
            </w:r>
          </w:p>
        </w:tc>
        <w:tc>
          <w:tcPr>
            <w:tcW w:w="1155" w:type="dxa"/>
            <w:gridSpan w:val="2"/>
            <w:tcBorders>
              <w:bottom w:val="single" w:color="000000" w:sz="6" w:space="0"/>
            </w:tcBorders>
          </w:tcPr>
          <w:p>
            <w:pPr>
              <w:spacing w:line="360" w:lineRule="atLeast"/>
            </w:pPr>
          </w:p>
        </w:tc>
        <w:tc>
          <w:tcPr>
            <w:tcW w:w="2100" w:type="dxa"/>
            <w:gridSpan w:val="3"/>
            <w:tcBorders>
              <w:bottom w:val="single" w:color="000000" w:sz="6" w:space="0"/>
            </w:tcBorders>
          </w:tcPr>
          <w:p>
            <w:pPr>
              <w:spacing w:line="360" w:lineRule="atLeast"/>
            </w:pPr>
          </w:p>
        </w:tc>
        <w:tc>
          <w:tcPr>
            <w:tcW w:w="1575" w:type="dxa"/>
            <w:gridSpan w:val="3"/>
            <w:tcBorders>
              <w:bottom w:val="single" w:color="000000" w:sz="6" w:space="0"/>
            </w:tcBorders>
          </w:tcPr>
          <w:p>
            <w:pPr>
              <w:spacing w:line="360" w:lineRule="atLeast"/>
            </w:pPr>
          </w:p>
        </w:tc>
        <w:tc>
          <w:tcPr>
            <w:tcW w:w="2100" w:type="dxa"/>
            <w:tcBorders>
              <w:bottom w:val="single" w:color="000000" w:sz="6" w:space="0"/>
            </w:tcBorders>
          </w:tcPr>
          <w:p>
            <w:pPr>
              <w:spacing w:line="360" w:lineRule="atLeas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pPr>
              <w:spacing w:line="360" w:lineRule="atLeast"/>
            </w:pPr>
          </w:p>
        </w:tc>
        <w:tc>
          <w:tcPr>
            <w:tcW w:w="945" w:type="dxa"/>
            <w:tcBorders>
              <w:bottom w:val="single" w:color="000000" w:sz="6" w:space="0"/>
            </w:tcBorders>
          </w:tcPr>
          <w:p>
            <w:pPr>
              <w:spacing w:line="360" w:lineRule="atLeast"/>
              <w:jc w:val="center"/>
            </w:pPr>
            <w:r>
              <w:rPr>
                <w:rFonts w:hint="eastAsia"/>
              </w:rPr>
              <w:t>20</w:t>
            </w:r>
            <w:r>
              <w:t>2</w:t>
            </w:r>
            <w:r>
              <w:rPr>
                <w:rFonts w:hint="eastAsia"/>
              </w:rPr>
              <w:t>1年</w:t>
            </w:r>
          </w:p>
        </w:tc>
        <w:tc>
          <w:tcPr>
            <w:tcW w:w="1155" w:type="dxa"/>
            <w:gridSpan w:val="2"/>
            <w:tcBorders>
              <w:bottom w:val="single" w:color="000000" w:sz="6" w:space="0"/>
            </w:tcBorders>
          </w:tcPr>
          <w:p>
            <w:pPr>
              <w:spacing w:line="360" w:lineRule="atLeast"/>
            </w:pPr>
          </w:p>
        </w:tc>
        <w:tc>
          <w:tcPr>
            <w:tcW w:w="2100" w:type="dxa"/>
            <w:gridSpan w:val="3"/>
            <w:tcBorders>
              <w:bottom w:val="single" w:color="000000" w:sz="6" w:space="0"/>
            </w:tcBorders>
          </w:tcPr>
          <w:p>
            <w:pPr>
              <w:spacing w:line="360" w:lineRule="atLeast"/>
            </w:pPr>
          </w:p>
        </w:tc>
        <w:tc>
          <w:tcPr>
            <w:tcW w:w="1575" w:type="dxa"/>
            <w:gridSpan w:val="3"/>
            <w:tcBorders>
              <w:bottom w:val="single" w:color="000000" w:sz="6" w:space="0"/>
            </w:tcBorders>
          </w:tcPr>
          <w:p>
            <w:pPr>
              <w:spacing w:line="360" w:lineRule="atLeast"/>
            </w:pPr>
          </w:p>
        </w:tc>
        <w:tc>
          <w:tcPr>
            <w:tcW w:w="2100" w:type="dxa"/>
            <w:tcBorders>
              <w:bottom w:val="single" w:color="000000" w:sz="6" w:space="0"/>
            </w:tcBorders>
          </w:tcPr>
          <w:p>
            <w:pPr>
              <w:spacing w:line="360" w:lineRule="atLeast"/>
            </w:pPr>
          </w:p>
        </w:tc>
      </w:tr>
    </w:tbl>
    <w:p>
      <w:pPr>
        <w:pStyle w:val="36"/>
        <w:ind w:firstLine="420"/>
        <w:rPr>
          <w:rFonts w:hint="default"/>
        </w:rPr>
      </w:pPr>
    </w:p>
    <w:p>
      <w:pPr>
        <w:spacing w:line="600" w:lineRule="exact"/>
        <w:jc w:val="left"/>
        <w:rPr>
          <w:sz w:val="24"/>
        </w:rPr>
      </w:pPr>
    </w:p>
    <w:p>
      <w:pPr>
        <w:spacing w:line="600" w:lineRule="exact"/>
        <w:jc w:val="left"/>
        <w:rPr>
          <w:rFonts w:ascii="宋体"/>
          <w:sz w:val="24"/>
        </w:rPr>
      </w:pPr>
    </w:p>
    <w:p>
      <w:pPr>
        <w:spacing w:line="600" w:lineRule="exact"/>
        <w:jc w:val="left"/>
        <w:rPr>
          <w:rFonts w:ascii="宋体"/>
          <w:b/>
          <w:sz w:val="28"/>
          <w:szCs w:val="28"/>
        </w:rPr>
      </w:pPr>
    </w:p>
    <w:p>
      <w:pPr>
        <w:spacing w:line="600" w:lineRule="exact"/>
        <w:jc w:val="left"/>
        <w:rPr>
          <w:rFonts w:ascii="宋体"/>
          <w:sz w:val="24"/>
        </w:rPr>
      </w:pPr>
      <w:r>
        <w:rPr>
          <w:rFonts w:ascii="宋体"/>
          <w:sz w:val="24"/>
        </w:rPr>
        <w:br w:type="page"/>
      </w:r>
      <w:r>
        <w:rPr>
          <w:rFonts w:hint="eastAsia" w:ascii="宋体"/>
          <w:sz w:val="24"/>
        </w:rPr>
        <w:t xml:space="preserve">附件七 </w:t>
      </w:r>
    </w:p>
    <w:p>
      <w:pPr>
        <w:spacing w:line="600" w:lineRule="exact"/>
        <w:jc w:val="center"/>
        <w:rPr>
          <w:rFonts w:ascii="宋体"/>
          <w:b/>
          <w:spacing w:val="-6"/>
          <w:sz w:val="28"/>
          <w:szCs w:val="28"/>
        </w:rPr>
      </w:pPr>
      <w:r>
        <w:rPr>
          <w:rFonts w:hint="eastAsia" w:ascii="宋体"/>
          <w:b/>
          <w:spacing w:val="-6"/>
          <w:sz w:val="28"/>
          <w:szCs w:val="28"/>
        </w:rPr>
        <w:t>项目服务人员情况表</w:t>
      </w:r>
    </w:p>
    <w:p>
      <w:pPr>
        <w:spacing w:afterLines="100"/>
        <w:jc w:val="center"/>
        <w:rPr>
          <w:rFonts w:ascii="宋体" w:hAnsi="宋体"/>
          <w:b/>
          <w:sz w:val="32"/>
        </w:rPr>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560" w:type="dxa"/>
            <w:vAlign w:val="center"/>
          </w:tcPr>
          <w:p>
            <w:pPr>
              <w:snapToGrid w:val="0"/>
              <w:spacing w:line="240" w:lineRule="auto"/>
              <w:jc w:val="center"/>
              <w:rPr>
                <w:rFonts w:ascii="宋体" w:hAnsi="宋体"/>
                <w:b/>
              </w:rPr>
            </w:pPr>
            <w:r>
              <w:rPr>
                <w:rFonts w:ascii="宋体" w:hAnsi="宋体"/>
                <w:b/>
              </w:rPr>
              <w:t>姓名</w:t>
            </w:r>
          </w:p>
        </w:tc>
        <w:tc>
          <w:tcPr>
            <w:tcW w:w="992" w:type="dxa"/>
            <w:vAlign w:val="center"/>
          </w:tcPr>
          <w:p>
            <w:pPr>
              <w:snapToGrid w:val="0"/>
              <w:spacing w:line="240" w:lineRule="auto"/>
              <w:jc w:val="center"/>
              <w:rPr>
                <w:rFonts w:ascii="宋体" w:hAnsi="宋体"/>
                <w:b/>
              </w:rPr>
            </w:pPr>
            <w:r>
              <w:rPr>
                <w:rFonts w:hint="eastAsia" w:ascii="宋体" w:hAnsi="宋体"/>
                <w:b/>
              </w:rPr>
              <w:t>部门</w:t>
            </w:r>
          </w:p>
        </w:tc>
        <w:tc>
          <w:tcPr>
            <w:tcW w:w="1276" w:type="dxa"/>
            <w:vAlign w:val="center"/>
          </w:tcPr>
          <w:p>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pPr>
              <w:snapToGrid w:val="0"/>
              <w:spacing w:line="240" w:lineRule="auto"/>
              <w:jc w:val="center"/>
              <w:rPr>
                <w:rFonts w:ascii="宋体" w:hAnsi="宋体"/>
                <w:b/>
              </w:rPr>
            </w:pPr>
            <w:r>
              <w:rPr>
                <w:rFonts w:hint="eastAsia" w:ascii="宋体" w:hAnsi="宋体"/>
                <w:b/>
              </w:rPr>
              <w:t>人员情况简介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pPr>
              <w:rPr>
                <w:rFonts w:ascii="宋体" w:hAnsi="宋体"/>
              </w:rPr>
            </w:pPr>
          </w:p>
        </w:tc>
        <w:tc>
          <w:tcPr>
            <w:tcW w:w="992" w:type="dxa"/>
            <w:vAlign w:val="center"/>
          </w:tcPr>
          <w:p>
            <w:pPr>
              <w:rPr>
                <w:rFonts w:ascii="宋体" w:hAnsi="宋体"/>
              </w:rPr>
            </w:pPr>
          </w:p>
        </w:tc>
        <w:tc>
          <w:tcPr>
            <w:tcW w:w="1276" w:type="dxa"/>
            <w:vAlign w:val="center"/>
          </w:tcPr>
          <w:p>
            <w:pPr>
              <w:rPr>
                <w:rFonts w:ascii="宋体" w:hAnsi="宋体"/>
              </w:rPr>
            </w:pPr>
          </w:p>
        </w:tc>
        <w:tc>
          <w:tcPr>
            <w:tcW w:w="1842" w:type="dxa"/>
            <w:vAlign w:val="center"/>
          </w:tcPr>
          <w:p>
            <w:pPr>
              <w:rPr>
                <w:rFonts w:ascii="宋体" w:hAnsi="宋体"/>
              </w:rPr>
            </w:pPr>
          </w:p>
        </w:tc>
        <w:tc>
          <w:tcPr>
            <w:tcW w:w="288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1560" w:type="dxa"/>
            <w:vAlign w:val="center"/>
          </w:tcPr>
          <w:p>
            <w:pPr>
              <w:rPr>
                <w:rFonts w:ascii="宋体" w:hAnsi="宋体"/>
              </w:rPr>
            </w:pPr>
          </w:p>
        </w:tc>
        <w:tc>
          <w:tcPr>
            <w:tcW w:w="992" w:type="dxa"/>
            <w:vAlign w:val="center"/>
          </w:tcPr>
          <w:p>
            <w:pPr>
              <w:rPr>
                <w:rFonts w:ascii="宋体" w:hAnsi="宋体"/>
              </w:rPr>
            </w:pPr>
          </w:p>
        </w:tc>
        <w:tc>
          <w:tcPr>
            <w:tcW w:w="1276" w:type="dxa"/>
            <w:vAlign w:val="center"/>
          </w:tcPr>
          <w:p>
            <w:pPr>
              <w:rPr>
                <w:rFonts w:ascii="宋体" w:hAnsi="宋体"/>
              </w:rPr>
            </w:pPr>
          </w:p>
        </w:tc>
        <w:tc>
          <w:tcPr>
            <w:tcW w:w="1842" w:type="dxa"/>
            <w:vAlign w:val="center"/>
          </w:tcPr>
          <w:p>
            <w:pPr>
              <w:rPr>
                <w:rFonts w:ascii="宋体" w:hAnsi="宋体"/>
              </w:rPr>
            </w:pPr>
          </w:p>
        </w:tc>
        <w:tc>
          <w:tcPr>
            <w:tcW w:w="2880" w:type="dxa"/>
            <w:vAlign w:val="center"/>
          </w:tcPr>
          <w:p>
            <w:pPr>
              <w:rPr>
                <w:rFonts w:ascii="宋体" w:hAnsi="宋体"/>
              </w:rPr>
            </w:pPr>
          </w:p>
        </w:tc>
      </w:tr>
    </w:tbl>
    <w:p>
      <w:pPr>
        <w:widowControl/>
        <w:spacing w:line="240" w:lineRule="auto"/>
        <w:ind w:left="743" w:leftChars="354" w:firstLine="105" w:firstLineChars="50"/>
        <w:rPr>
          <w:rFonts w:ascii="宋体" w:hAnsi="宋体"/>
          <w:bCs/>
        </w:rPr>
      </w:pPr>
    </w:p>
    <w:p>
      <w:pPr>
        <w:widowControl/>
        <w:spacing w:line="240" w:lineRule="auto"/>
        <w:ind w:left="743" w:leftChars="354" w:firstLine="105" w:firstLineChars="50"/>
        <w:rPr>
          <w:rFonts w:ascii="宋体" w:hAnsi="宋体"/>
          <w:bCs/>
        </w:rPr>
      </w:pPr>
    </w:p>
    <w:p>
      <w:pPr>
        <w:widowControl/>
        <w:spacing w:line="240" w:lineRule="auto"/>
        <w:ind w:left="743" w:leftChars="354" w:firstLine="105" w:firstLineChars="50"/>
        <w:rPr>
          <w:rFonts w:ascii="宋体" w:hAnsi="宋体"/>
          <w:bCs/>
        </w:rPr>
      </w:pPr>
    </w:p>
    <w:p>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pPr>
        <w:spacing w:line="600" w:lineRule="exact"/>
        <w:jc w:val="left"/>
        <w:rPr>
          <w:rFonts w:ascii="宋体"/>
          <w:sz w:val="24"/>
        </w:rPr>
      </w:pPr>
    </w:p>
    <w:p>
      <w:pPr>
        <w:spacing w:line="360" w:lineRule="atLeast"/>
        <w:jc w:val="left"/>
        <w:outlineLvl w:val="0"/>
        <w:rPr>
          <w:rFonts w:ascii="宋体"/>
          <w:sz w:val="24"/>
        </w:rPr>
      </w:pPr>
      <w:r>
        <w:rPr>
          <w:b/>
          <w:sz w:val="28"/>
        </w:rPr>
        <w:br w:type="page"/>
      </w:r>
      <w:r>
        <w:rPr>
          <w:rFonts w:hint="eastAsia" w:ascii="宋体"/>
          <w:sz w:val="24"/>
        </w:rPr>
        <w:t>附件八</w:t>
      </w:r>
    </w:p>
    <w:p>
      <w:pPr>
        <w:spacing w:before="120" w:line="360" w:lineRule="atLeast"/>
        <w:jc w:val="center"/>
        <w:rPr>
          <w:rFonts w:ascii="宋体" w:hAnsi="宋体"/>
          <w:b/>
          <w:sz w:val="30"/>
          <w:szCs w:val="30"/>
        </w:rPr>
      </w:pPr>
      <w:r>
        <w:rPr>
          <w:rFonts w:hint="eastAsia" w:ascii="宋体" w:hAnsi="宋体"/>
          <w:b/>
          <w:sz w:val="30"/>
          <w:szCs w:val="30"/>
        </w:rPr>
        <w:t>合同条款承诺函</w:t>
      </w:r>
    </w:p>
    <w:p>
      <w:pPr>
        <w:spacing w:beforeLines="50" w:line="460" w:lineRule="exact"/>
        <w:jc w:val="left"/>
        <w:rPr>
          <w:rFonts w:ascii="宋体" w:hAnsi="宋体"/>
          <w:b/>
          <w:sz w:val="30"/>
          <w:szCs w:val="30"/>
        </w:rPr>
      </w:pPr>
    </w:p>
    <w:p>
      <w:pPr>
        <w:rPr>
          <w:rFonts w:hAnsi="宋体"/>
          <w:sz w:val="24"/>
          <w:szCs w:val="24"/>
        </w:rPr>
      </w:pPr>
    </w:p>
    <w:p>
      <w:pPr>
        <w:spacing w:line="400" w:lineRule="exact"/>
        <w:rPr>
          <w:rFonts w:hAnsi="宋体"/>
          <w:sz w:val="24"/>
          <w:szCs w:val="24"/>
        </w:rPr>
      </w:pPr>
      <w:r>
        <w:rPr>
          <w:rFonts w:hint="eastAsia" w:hAnsi="宋体"/>
          <w:sz w:val="24"/>
          <w:szCs w:val="24"/>
        </w:rPr>
        <w:t>我单位完全满足招标文件第三部分拟签订的合同文本要求，不存在任何负偏离。</w:t>
      </w:r>
    </w:p>
    <w:p>
      <w:pPr>
        <w:spacing w:line="400" w:lineRule="exact"/>
        <w:rPr>
          <w:rFonts w:hAnsi="宋体"/>
          <w:sz w:val="24"/>
          <w:szCs w:val="24"/>
        </w:rPr>
      </w:pPr>
      <w:r>
        <w:rPr>
          <w:rFonts w:hint="eastAsia" w:hAnsi="宋体"/>
          <w:sz w:val="24"/>
          <w:szCs w:val="24"/>
        </w:rPr>
        <w:t>特此承诺。</w:t>
      </w:r>
    </w:p>
    <w:p>
      <w:pPr>
        <w:spacing w:line="400" w:lineRule="exact"/>
        <w:rPr>
          <w:rFonts w:hAnsi="宋体"/>
          <w:sz w:val="24"/>
          <w:szCs w:val="24"/>
        </w:rPr>
      </w:pPr>
    </w:p>
    <w:p>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pPr>
        <w:rPr>
          <w:rFonts w:hAnsi="宋体"/>
          <w:sz w:val="24"/>
          <w:szCs w:val="24"/>
        </w:rPr>
      </w:pPr>
    </w:p>
    <w:p>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pPr>
        <w:rPr>
          <w:rFonts w:hAnsi="宋体"/>
          <w:sz w:val="24"/>
          <w:szCs w:val="24"/>
        </w:rPr>
      </w:pPr>
    </w:p>
    <w:p>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p>
      <w:pPr>
        <w:pStyle w:val="36"/>
        <w:ind w:firstLine="420"/>
        <w:jc w:val="center"/>
        <w:rPr>
          <w:rFonts w:hint="default"/>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Cs/>
          <w:sz w:val="24"/>
          <w:szCs w:val="24"/>
        </w:rPr>
      </w:pPr>
      <w:r>
        <w:rPr>
          <w:rFonts w:hint="eastAsia" w:ascii="宋体"/>
          <w:bCs/>
          <w:sz w:val="24"/>
          <w:szCs w:val="24"/>
        </w:rPr>
        <w:t>附件九</w:t>
      </w:r>
    </w:p>
    <w:p>
      <w:pPr>
        <w:spacing w:afterLines="100"/>
        <w:jc w:val="center"/>
        <w:rPr>
          <w:rFonts w:ascii="宋体" w:hAnsi="宋体"/>
          <w:b/>
          <w:bCs/>
          <w:sz w:val="28"/>
          <w:szCs w:val="28"/>
        </w:rPr>
      </w:pPr>
      <w:r>
        <w:rPr>
          <w:rFonts w:hint="eastAsia" w:ascii="宋体" w:hAnsi="宋体"/>
          <w:b/>
          <w:bCs/>
          <w:sz w:val="28"/>
          <w:szCs w:val="28"/>
        </w:rPr>
        <w:t>服务条款应答表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42"/>
        <w:gridCol w:w="2339"/>
        <w:gridCol w:w="1418"/>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134" w:type="dxa"/>
            <w:vAlign w:val="center"/>
          </w:tcPr>
          <w:p>
            <w:pPr>
              <w:spacing w:line="360" w:lineRule="exact"/>
              <w:jc w:val="center"/>
              <w:rPr>
                <w:rFonts w:ascii="宋体" w:hAnsi="宋体"/>
                <w:b/>
                <w:bCs/>
                <w:sz w:val="24"/>
              </w:rPr>
            </w:pPr>
            <w:r>
              <w:rPr>
                <w:rFonts w:hint="eastAsia" w:ascii="宋体" w:hAnsi="宋体"/>
                <w:b/>
                <w:bCs/>
                <w:sz w:val="24"/>
              </w:rPr>
              <w:t>条款号</w:t>
            </w:r>
          </w:p>
        </w:tc>
        <w:tc>
          <w:tcPr>
            <w:tcW w:w="3242" w:type="dxa"/>
            <w:vAlign w:val="center"/>
          </w:tcPr>
          <w:p>
            <w:pPr>
              <w:spacing w:line="360" w:lineRule="exact"/>
              <w:jc w:val="center"/>
              <w:rPr>
                <w:rFonts w:ascii="宋体" w:hAnsi="宋体"/>
                <w:b/>
                <w:sz w:val="24"/>
                <w:szCs w:val="24"/>
              </w:rPr>
            </w:pPr>
            <w:r>
              <w:rPr>
                <w:rFonts w:hint="eastAsia" w:ascii="宋体" w:hAnsi="宋体"/>
                <w:b/>
                <w:sz w:val="24"/>
                <w:szCs w:val="24"/>
              </w:rPr>
              <w:t>采购文件</w:t>
            </w:r>
          </w:p>
          <w:p>
            <w:pPr>
              <w:spacing w:line="360" w:lineRule="exact"/>
              <w:jc w:val="center"/>
              <w:rPr>
                <w:rFonts w:ascii="宋体" w:hAnsi="宋体"/>
                <w:b/>
                <w:bCs/>
                <w:sz w:val="24"/>
              </w:rPr>
            </w:pPr>
            <w:r>
              <w:rPr>
                <w:rFonts w:hint="eastAsia" w:ascii="宋体" w:hAnsi="宋体"/>
                <w:b/>
                <w:sz w:val="24"/>
                <w:szCs w:val="24"/>
              </w:rPr>
              <w:t>服务需求条款要求</w:t>
            </w:r>
          </w:p>
        </w:tc>
        <w:tc>
          <w:tcPr>
            <w:tcW w:w="2339" w:type="dxa"/>
            <w:vAlign w:val="center"/>
          </w:tcPr>
          <w:p>
            <w:pPr>
              <w:spacing w:line="360" w:lineRule="exact"/>
              <w:jc w:val="center"/>
              <w:rPr>
                <w:rFonts w:ascii="宋体" w:hAnsi="宋体"/>
                <w:b/>
                <w:bCs/>
                <w:szCs w:val="21"/>
              </w:rPr>
            </w:pPr>
            <w:r>
              <w:rPr>
                <w:rFonts w:hint="eastAsia" w:ascii="宋体" w:hAnsi="宋体"/>
                <w:b/>
                <w:sz w:val="24"/>
              </w:rPr>
              <w:t>论证文件应答</w:t>
            </w:r>
          </w:p>
        </w:tc>
        <w:tc>
          <w:tcPr>
            <w:tcW w:w="1418" w:type="dxa"/>
            <w:vAlign w:val="center"/>
          </w:tcPr>
          <w:p>
            <w:pPr>
              <w:spacing w:line="360" w:lineRule="exact"/>
              <w:jc w:val="center"/>
              <w:rPr>
                <w:rFonts w:ascii="宋体" w:hAnsi="宋体"/>
                <w:b/>
                <w:bCs/>
                <w:sz w:val="24"/>
              </w:rPr>
            </w:pPr>
            <w:r>
              <w:rPr>
                <w:rFonts w:hint="eastAsia" w:ascii="宋体" w:hAnsi="宋体"/>
                <w:b/>
                <w:sz w:val="24"/>
              </w:rPr>
              <w:t>响应/偏离</w:t>
            </w:r>
          </w:p>
        </w:tc>
        <w:tc>
          <w:tcPr>
            <w:tcW w:w="1081" w:type="dxa"/>
            <w:vAlign w:val="center"/>
          </w:tcPr>
          <w:p>
            <w:pPr>
              <w:spacing w:line="360" w:lineRule="exact"/>
              <w:jc w:val="center"/>
              <w:rPr>
                <w:rFonts w:ascii="宋体" w:hAnsi="宋体"/>
                <w:b/>
                <w:sz w:val="24"/>
              </w:rPr>
            </w:pPr>
            <w:r>
              <w:rPr>
                <w:rFonts w:hint="eastAsia" w:ascii="宋体" w:hAnsi="宋体"/>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1" w:hRule="atLeast"/>
        </w:trPr>
        <w:tc>
          <w:tcPr>
            <w:tcW w:w="1134" w:type="dxa"/>
          </w:tcPr>
          <w:p>
            <w:pPr>
              <w:spacing w:before="120" w:after="120" w:line="400" w:lineRule="exact"/>
              <w:jc w:val="center"/>
              <w:rPr>
                <w:rFonts w:ascii="宋体" w:hAnsi="宋体"/>
                <w:szCs w:val="21"/>
              </w:rPr>
            </w:pPr>
            <w:r>
              <w:rPr>
                <w:rFonts w:hint="eastAsia" w:ascii="宋体" w:hAnsi="宋体"/>
                <w:szCs w:val="21"/>
              </w:rPr>
              <w:t>三、（二）总体监控要求</w:t>
            </w:r>
          </w:p>
        </w:tc>
        <w:tc>
          <w:tcPr>
            <w:tcW w:w="3242" w:type="dxa"/>
          </w:tcPr>
          <w:p>
            <w:pPr>
              <w:widowControl/>
              <w:spacing w:line="360" w:lineRule="auto"/>
              <w:jc w:val="left"/>
              <w:rPr>
                <w:rFonts w:ascii="宋体" w:hAnsi="宋体"/>
                <w:szCs w:val="21"/>
              </w:rPr>
            </w:pPr>
            <w:r>
              <w:rPr>
                <w:rFonts w:hint="eastAsia" w:ascii="宋体" w:hAnsi="宋体" w:cs="宋体"/>
                <w:szCs w:val="21"/>
              </w:rPr>
              <w:t>★ 1、要求平台运行于 Linux 操作系统之上，保证平台稳定性和安全性。同时要求平台数据库基于开源数据库，用户无需再另行购买数据库授权。（要求提供加盖原厂商公章的确认信证明材料）</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tcPr>
          <w:p>
            <w:pPr>
              <w:spacing w:before="120" w:after="120" w:line="400" w:lineRule="exact"/>
              <w:jc w:val="center"/>
              <w:rPr>
                <w:rFonts w:ascii="宋体" w:hAnsi="宋体"/>
                <w:szCs w:val="21"/>
              </w:rPr>
            </w:pPr>
            <w:r>
              <w:rPr>
                <w:rFonts w:hint="eastAsia" w:ascii="宋体" w:hAnsi="宋体"/>
                <w:szCs w:val="21"/>
              </w:rPr>
              <w:t>三、（二）总体监控要求</w:t>
            </w: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r>
              <w:rPr>
                <w:rFonts w:hint="eastAsia" w:ascii="宋体" w:hAnsi="宋体" w:cs="宋体"/>
                <w:sz w:val="21"/>
                <w:szCs w:val="21"/>
              </w:rPr>
              <w:t>▲1、要求平台支持全文检索功能，可对报警信息、配置信息、日志信息等按内容建立全文索引，支持按关键字查找相关内容。提供综合展示界面，检索全部信息</w:t>
            </w:r>
            <w:r>
              <w:rPr>
                <w:rFonts w:ascii="宋体" w:hAnsi="宋体" w:cs="宋体"/>
                <w:sz w:val="21"/>
                <w:szCs w:val="21"/>
              </w:rPr>
              <w:t>,可综合系统信息，软件信息，报警信息，笔记信息，日志信息等进行关键词综合搜索，帮助用户进行信息定位。</w:t>
            </w:r>
            <w:r>
              <w:rPr>
                <w:rFonts w:hint="eastAsia" w:ascii="宋体" w:hAnsi="宋体" w:cs="宋体"/>
                <w:sz w:val="21"/>
                <w:szCs w:val="21"/>
              </w:rPr>
              <w:t>(要求提供截图等相关证明材料)</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三、（二）总体监控要求</w:t>
            </w:r>
          </w:p>
        </w:tc>
        <w:tc>
          <w:tcPr>
            <w:tcW w:w="3242" w:type="dxa"/>
          </w:tcPr>
          <w:p>
            <w:pPr>
              <w:spacing w:line="360" w:lineRule="auto"/>
              <w:jc w:val="left"/>
              <w:rPr>
                <w:rFonts w:ascii="宋体" w:hAnsi="宋体"/>
                <w:szCs w:val="21"/>
              </w:rPr>
            </w:pPr>
            <w:r>
              <w:rPr>
                <w:rFonts w:hint="eastAsia" w:ascii="宋体" w:hAnsi="宋体" w:cs="宋体"/>
                <w:szCs w:val="21"/>
              </w:rPr>
              <w:t>▲2、要求平台支持对</w:t>
            </w:r>
            <w:r>
              <w:rPr>
                <w:rFonts w:ascii="宋体" w:hAnsi="宋体" w:cs="宋体"/>
                <w:szCs w:val="21"/>
              </w:rPr>
              <w:t>CPU、内存使用率的超过或低于设定的基线范围时，自动触发报警，以及对磁盘使用率、Oracle表空间出现异常增速时，自动触发报警。同时，要求平台具备资源使用回溯功能，对于CPU、内存资源使用率超过报警阈值时，平台可展示该时间节点Top10进程资源（CPU或内存）占用信息。</w:t>
            </w:r>
            <w:r>
              <w:rPr>
                <w:rFonts w:hint="eastAsia" w:ascii="宋体" w:hAnsi="宋体" w:cs="宋体"/>
                <w:szCs w:val="21"/>
              </w:rPr>
              <w:t>(要求提供截图等相关证明材料)</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trPr>
        <w:tc>
          <w:tcPr>
            <w:tcW w:w="1134" w:type="dxa"/>
          </w:tcPr>
          <w:p>
            <w:pPr>
              <w:spacing w:before="120" w:after="120" w:line="400" w:lineRule="exact"/>
              <w:jc w:val="center"/>
              <w:rPr>
                <w:rFonts w:ascii="宋体" w:hAnsi="宋体"/>
                <w:szCs w:val="21"/>
              </w:rPr>
            </w:pPr>
            <w:r>
              <w:rPr>
                <w:rFonts w:hint="eastAsia" w:ascii="宋体" w:hAnsi="宋体"/>
                <w:szCs w:val="21"/>
              </w:rPr>
              <w:t>三、（二）总体监控要求</w:t>
            </w:r>
          </w:p>
        </w:tc>
        <w:tc>
          <w:tcPr>
            <w:tcW w:w="3242" w:type="dxa"/>
          </w:tcPr>
          <w:p>
            <w:pPr>
              <w:spacing w:line="360" w:lineRule="auto"/>
              <w:jc w:val="left"/>
              <w:rPr>
                <w:rFonts w:ascii="宋体" w:hAnsi="宋体"/>
                <w:szCs w:val="21"/>
              </w:rPr>
            </w:pPr>
            <w:r>
              <w:rPr>
                <w:rFonts w:hint="eastAsia" w:ascii="宋体" w:hAnsi="宋体" w:cs="宋体"/>
                <w:szCs w:val="21"/>
              </w:rPr>
              <w:t>3、要求平台支持网格化巡检的巡检汇总，可展示每个人的巡检情况，每个人近一段时间已完成、未完成、延迟巡检统计信息。</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10" w:hRule="atLeast"/>
        </w:trPr>
        <w:tc>
          <w:tcPr>
            <w:tcW w:w="1134" w:type="dxa"/>
          </w:tcPr>
          <w:p>
            <w:pPr>
              <w:spacing w:before="120" w:after="120" w:line="400" w:lineRule="exact"/>
              <w:jc w:val="center"/>
              <w:rPr>
                <w:rFonts w:ascii="宋体" w:hAnsi="宋体"/>
                <w:szCs w:val="21"/>
              </w:rPr>
            </w:pPr>
            <w:r>
              <w:rPr>
                <w:rFonts w:hint="eastAsia" w:ascii="宋体" w:hAnsi="宋体"/>
                <w:szCs w:val="21"/>
              </w:rPr>
              <w:t>三、（二）总体监控要求</w:t>
            </w: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r>
              <w:rPr>
                <w:rFonts w:hint="eastAsia"/>
                <w:kern w:val="2"/>
                <w:sz w:val="21"/>
                <w:szCs w:val="21"/>
              </w:rPr>
              <w:t>4、要求平台支持对超时跟进的报警/提醒信息的列表统计；用于查看超时跟进的报警/提醒，同时，要求可自定义设置超时设置超时跟进时间；要求平台支持对超时恢复信息的列表统计，用于查看超时恢复的报警/提醒，同时，要求可自定义设置超时恢复设置超时时间。</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三、（二）网络监控</w:t>
            </w:r>
          </w:p>
        </w:tc>
        <w:tc>
          <w:tcPr>
            <w:tcW w:w="3242" w:type="dxa"/>
          </w:tcPr>
          <w:p>
            <w:pPr>
              <w:spacing w:line="360" w:lineRule="auto"/>
              <w:jc w:val="left"/>
              <w:rPr>
                <w:rFonts w:ascii="宋体" w:hAnsi="宋体"/>
                <w:szCs w:val="21"/>
              </w:rPr>
            </w:pPr>
            <w:r>
              <w:rPr>
                <w:rFonts w:hint="eastAsia" w:ascii="宋体" w:hAnsi="宋体" w:cs="宋体"/>
                <w:szCs w:val="21"/>
              </w:rPr>
              <w:t>1、支持SNMP V1/V2/V3版本的兼容。支持对核心、汇聚、接入层交换机的网络拓扑（包含子拓扑）的自动发现、自动生成拓扑图功能，及端口流量、链路聚合、设备堆叠、网络设备硬件级及系统级的监控功能、以及网络设备配置信息的自动备份、版本比对功能。提供对不同机房的机房拓扑图的编辑和展示功能、以及导出功能，同时，机房拓扑图提供动画展示效果。</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三、（二）网络监控</w:t>
            </w:r>
          </w:p>
        </w:tc>
        <w:tc>
          <w:tcPr>
            <w:tcW w:w="3242" w:type="dxa"/>
          </w:tcPr>
          <w:p>
            <w:pPr>
              <w:spacing w:line="360" w:lineRule="auto"/>
              <w:jc w:val="left"/>
              <w:rPr>
                <w:rFonts w:ascii="宋体" w:hAnsi="宋体"/>
                <w:szCs w:val="21"/>
              </w:rPr>
            </w:pPr>
            <w:r>
              <w:rPr>
                <w:rFonts w:hint="eastAsia" w:ascii="宋体" w:hAnsi="宋体" w:cs="宋体"/>
                <w:szCs w:val="21"/>
              </w:rPr>
              <w:t>2、支持对各交换机端口流量查看功能，支持数据下钻功能查看每个设备和链路的详细信息。同时提供对链路聚合的各条链路的状态及流量进行监控及报警。支持查询和导出交换机网口流量报表。</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三、（二）网络监控</w:t>
            </w: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r>
              <w:rPr>
                <w:rFonts w:hint="eastAsia" w:ascii="宋体" w:hAnsi="宋体" w:cs="宋体"/>
                <w:sz w:val="21"/>
                <w:szCs w:val="21"/>
              </w:rPr>
              <w:t>3、提供交换机硬件电源、风扇状态的监控及设备CPU、内存使用率的监控。支持对交换机堆叠口的状态进行监控，当堆叠口DOWN掉时报警。</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三、（二）设备监控</w:t>
            </w:r>
          </w:p>
        </w:tc>
        <w:tc>
          <w:tcPr>
            <w:tcW w:w="3242" w:type="dxa"/>
          </w:tcPr>
          <w:p>
            <w:pPr>
              <w:spacing w:line="360" w:lineRule="auto"/>
              <w:jc w:val="left"/>
              <w:rPr>
                <w:rFonts w:ascii="宋体" w:hAnsi="宋体"/>
                <w:szCs w:val="21"/>
              </w:rPr>
            </w:pPr>
            <w:r>
              <w:rPr>
                <w:rFonts w:hint="eastAsia" w:ascii="宋体" w:hAnsi="宋体" w:cs="宋体"/>
                <w:szCs w:val="21"/>
              </w:rPr>
              <w:t>▲1、提供适配业界常见的物理服务器、存储的带外管理口（即IPMI）的监控，以实现对物理服务器、存储设备的硬件状态监控，包括：电源、风扇、磁盘、内存、处理器、温度、全局健康等指标项的统一监控，出现异常时自动报警。</w:t>
            </w:r>
            <w:r>
              <w:rPr>
                <w:rFonts w:ascii="宋体" w:hAnsi="宋体" w:cs="宋体"/>
                <w:szCs w:val="21"/>
              </w:rPr>
              <w:t>。</w:t>
            </w:r>
            <w:r>
              <w:rPr>
                <w:rFonts w:hint="eastAsia" w:ascii="宋体" w:hAnsi="宋体" w:cs="宋体"/>
                <w:szCs w:val="21"/>
              </w:rPr>
              <w:t>(要求提供截图等相关证明材料)</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三、（二）设备监控</w:t>
            </w:r>
          </w:p>
        </w:tc>
        <w:tc>
          <w:tcPr>
            <w:tcW w:w="3242" w:type="dxa"/>
          </w:tcPr>
          <w:p>
            <w:pPr>
              <w:spacing w:line="360" w:lineRule="auto"/>
              <w:jc w:val="left"/>
              <w:rPr>
                <w:rFonts w:ascii="宋体" w:hAnsi="宋体"/>
                <w:szCs w:val="21"/>
              </w:rPr>
            </w:pPr>
            <w:r>
              <w:rPr>
                <w:rFonts w:hint="eastAsia" w:ascii="宋体" w:hAnsi="宋体" w:cs="宋体"/>
                <w:szCs w:val="21"/>
              </w:rPr>
              <w:t>2、支持对跨平台操作系统连通性、系统重启时间、系统开机连续运行时长、CPU、内存、硬盘使用率、系统服务、进程、端口、补丁、开机启动程序、防火墙等的监控，支持报警功能。</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三、（二）设备监控</w:t>
            </w:r>
          </w:p>
        </w:tc>
        <w:tc>
          <w:tcPr>
            <w:tcW w:w="3242" w:type="dxa"/>
          </w:tcPr>
          <w:p>
            <w:pPr>
              <w:spacing w:line="360" w:lineRule="auto"/>
              <w:rPr>
                <w:rFonts w:ascii="宋体" w:hAnsi="宋体"/>
                <w:szCs w:val="21"/>
              </w:rPr>
            </w:pPr>
            <w:r>
              <w:rPr>
                <w:rFonts w:hint="eastAsia" w:ascii="宋体" w:hAnsi="宋体" w:cs="宋体"/>
                <w:szCs w:val="21"/>
              </w:rPr>
              <w:t>3、支持读取服务器的网口状态、速率、以及流量的监控，支持数据下钻功能。支持对跨平台操作系统错误日志的监控。</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三、（二）设备监控</w:t>
            </w:r>
          </w:p>
        </w:tc>
        <w:tc>
          <w:tcPr>
            <w:tcW w:w="3242" w:type="dxa"/>
          </w:tcPr>
          <w:p>
            <w:pPr>
              <w:spacing w:line="360" w:lineRule="auto"/>
              <w:rPr>
                <w:rFonts w:ascii="宋体" w:hAnsi="宋体"/>
                <w:szCs w:val="21"/>
              </w:rPr>
            </w:pPr>
            <w:r>
              <w:rPr>
                <w:rFonts w:hint="eastAsia" w:ascii="宋体" w:hAnsi="宋体" w:cs="宋体"/>
                <w:szCs w:val="21"/>
              </w:rPr>
              <w:t>4、支持读取服务器CPU配置、内存、硬盘的配置信息。</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三、（二）设备监控</w:t>
            </w:r>
          </w:p>
        </w:tc>
        <w:tc>
          <w:tcPr>
            <w:tcW w:w="3242" w:type="dxa"/>
          </w:tcPr>
          <w:p>
            <w:pPr>
              <w:spacing w:line="360" w:lineRule="auto"/>
              <w:rPr>
                <w:rFonts w:ascii="宋体" w:hAnsi="宋体"/>
                <w:szCs w:val="21"/>
              </w:rPr>
            </w:pPr>
            <w:r>
              <w:rPr>
                <w:rFonts w:hint="eastAsia" w:ascii="宋体" w:hAnsi="宋体" w:cs="宋体"/>
                <w:szCs w:val="21"/>
              </w:rPr>
              <w:t>5、</w:t>
            </w:r>
            <w:r>
              <w:rPr>
                <w:rFonts w:ascii="宋体" w:hAnsi="宋体" w:cs="宋体"/>
                <w:szCs w:val="21"/>
              </w:rPr>
              <w:t>要求平台具备资源使用回溯功能，对于</w:t>
            </w:r>
            <w:r>
              <w:rPr>
                <w:rFonts w:hint="eastAsia" w:ascii="宋体" w:hAnsi="宋体" w:cs="宋体"/>
                <w:szCs w:val="21"/>
              </w:rPr>
              <w:t>设备</w:t>
            </w:r>
            <w:r>
              <w:rPr>
                <w:rFonts w:ascii="宋体" w:hAnsi="宋体" w:cs="宋体"/>
                <w:szCs w:val="21"/>
              </w:rPr>
              <w:t>CPU、内存资源使用率超过95%时，平台可展示该时点前十位进程资源（CPU或内存）占用信息。</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三、（二）设备监控</w:t>
            </w: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r>
              <w:rPr>
                <w:rFonts w:hint="eastAsia" w:ascii="宋体" w:hAnsi="宋体" w:cs="宋体"/>
                <w:sz w:val="21"/>
                <w:szCs w:val="21"/>
              </w:rPr>
              <w:t>6、要求平台提供内存使用结构。可展示分为已用内存，剩余内，共享内存和数据缓存；提供磁盘逻辑结构。展示物理磁盘如何进行逻辑划分，包括卷、分区的关系。展示磁盘吞吐量（每秒钟磁盘读写的数据量）与磁盘IOPS</w:t>
            </w:r>
            <w:r>
              <w:rPr>
                <w:rFonts w:ascii="宋体" w:hAnsi="宋体" w:cs="宋体"/>
                <w:sz w:val="21"/>
                <w:szCs w:val="21"/>
              </w:rPr>
              <w:t>(</w:t>
            </w:r>
            <w:r>
              <w:rPr>
                <w:rFonts w:hint="eastAsia" w:ascii="宋体" w:hAnsi="宋体" w:cs="宋体"/>
                <w:sz w:val="21"/>
                <w:szCs w:val="21"/>
              </w:rPr>
              <w:t>磁盘每秒钟读写次数) 。</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三、（二）智能巡检</w:t>
            </w:r>
          </w:p>
        </w:tc>
        <w:tc>
          <w:tcPr>
            <w:tcW w:w="3242" w:type="dxa"/>
          </w:tcPr>
          <w:p>
            <w:pPr>
              <w:spacing w:line="360" w:lineRule="auto"/>
              <w:rPr>
                <w:rFonts w:ascii="宋体" w:hAnsi="宋体"/>
                <w:szCs w:val="21"/>
              </w:rPr>
            </w:pPr>
            <w:r>
              <w:rPr>
                <w:rFonts w:hint="eastAsia" w:ascii="宋体" w:hAnsi="宋体" w:cs="宋体"/>
                <w:szCs w:val="21"/>
              </w:rPr>
              <w:t>1、要求平台支持业务巡检功能，可实现对业务系统关联软硬件资源进行巡检，并导出巡检报告。</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三、（二）智能巡检</w:t>
            </w:r>
          </w:p>
        </w:tc>
        <w:tc>
          <w:tcPr>
            <w:tcW w:w="3242" w:type="dxa"/>
          </w:tcPr>
          <w:p>
            <w:pPr>
              <w:spacing w:line="360" w:lineRule="auto"/>
              <w:rPr>
                <w:rFonts w:ascii="宋体" w:hAnsi="宋体"/>
                <w:szCs w:val="21"/>
              </w:rPr>
            </w:pPr>
            <w:r>
              <w:rPr>
                <w:rFonts w:hint="eastAsia" w:ascii="宋体" w:hAnsi="宋体" w:cs="宋体"/>
                <w:szCs w:val="21"/>
              </w:rPr>
              <w:t>2、要求平台支持网络巡检功能，可实现对全网网络设备进行巡检，可巡检设备物理位置、连通性、C</w:t>
            </w:r>
            <w:r>
              <w:rPr>
                <w:rFonts w:ascii="宋体" w:hAnsi="宋体" w:cs="宋体"/>
                <w:szCs w:val="21"/>
              </w:rPr>
              <w:t>PU</w:t>
            </w:r>
            <w:r>
              <w:rPr>
                <w:rFonts w:hint="eastAsia" w:ascii="宋体" w:hAnsi="宋体" w:cs="宋体"/>
                <w:szCs w:val="21"/>
              </w:rPr>
              <w:t>、内存、电源、风扇、堆叠等信息，并可导出巡检报告。</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三、（二）智能巡检</w:t>
            </w:r>
          </w:p>
        </w:tc>
        <w:tc>
          <w:tcPr>
            <w:tcW w:w="3242" w:type="dxa"/>
          </w:tcPr>
          <w:p>
            <w:pPr>
              <w:spacing w:line="360" w:lineRule="auto"/>
              <w:rPr>
                <w:rFonts w:ascii="宋体" w:hAnsi="宋体"/>
                <w:szCs w:val="21"/>
              </w:rPr>
            </w:pPr>
            <w:r>
              <w:rPr>
                <w:rFonts w:hint="eastAsia" w:ascii="宋体" w:hAnsi="宋体" w:cs="宋体"/>
                <w:szCs w:val="21"/>
              </w:rPr>
              <w:t>3、要求平台支持设备巡检功能，可实现对设备品牌型号、连通性、处理器、内存、硬盘、温度、风扇、电源等信息的巡检，并可导出巡检报告。</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三、（二）智能巡检</w:t>
            </w: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r>
              <w:rPr>
                <w:rFonts w:hint="eastAsia" w:ascii="宋体" w:hAnsi="宋体" w:cs="宋体"/>
                <w:sz w:val="21"/>
                <w:szCs w:val="21"/>
              </w:rPr>
              <w:t>4、要求平台支持Oracle数据库的巡检功能，可实现对数据库实例、件谈、表空间、会话、进程、R</w:t>
            </w:r>
            <w:r>
              <w:rPr>
                <w:rFonts w:ascii="宋体" w:hAnsi="宋体" w:cs="宋体"/>
                <w:sz w:val="21"/>
                <w:szCs w:val="21"/>
              </w:rPr>
              <w:t>MAN</w:t>
            </w:r>
            <w:r>
              <w:rPr>
                <w:rFonts w:hint="eastAsia" w:ascii="宋体" w:hAnsi="宋体" w:cs="宋体"/>
                <w:sz w:val="21"/>
                <w:szCs w:val="21"/>
              </w:rPr>
              <w:t>备份、阻塞缩表等信息的巡检，并可导出巡检报告。</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三、（二）便捷运维</w:t>
            </w:r>
          </w:p>
        </w:tc>
        <w:tc>
          <w:tcPr>
            <w:tcW w:w="3242" w:type="dxa"/>
          </w:tcPr>
          <w:p>
            <w:pPr>
              <w:spacing w:line="360" w:lineRule="auto"/>
              <w:rPr>
                <w:rFonts w:ascii="宋体" w:hAnsi="宋体"/>
                <w:szCs w:val="21"/>
              </w:rPr>
            </w:pPr>
            <w:r>
              <w:rPr>
                <w:rFonts w:hint="eastAsia" w:ascii="宋体" w:hAnsi="宋体"/>
                <w:szCs w:val="21"/>
              </w:rPr>
              <w:t>1、要求平台支持应急预案的管理功能，可上传应急预案相关文档，可下载导出。</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三、（二）便捷运维</w:t>
            </w:r>
          </w:p>
        </w:tc>
        <w:tc>
          <w:tcPr>
            <w:tcW w:w="3242" w:type="dxa"/>
          </w:tcPr>
          <w:p>
            <w:pPr>
              <w:spacing w:line="360" w:lineRule="auto"/>
              <w:rPr>
                <w:rFonts w:ascii="宋体" w:hAnsi="宋体"/>
                <w:szCs w:val="21"/>
              </w:rPr>
            </w:pPr>
            <w:r>
              <w:rPr>
                <w:rFonts w:hint="eastAsia" w:ascii="宋体" w:hAnsi="宋体"/>
                <w:szCs w:val="21"/>
              </w:rPr>
              <w:t>▲2、要求平台支持运维查询功能，支持基于平台查询操作系统版本、支持端口查询、服务查询、进程查询、补丁查询、杀毒软件版本查询、防火墙开启状态查询、交换机配置信息查询。（要求提供截图等相关证明材料)</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三、（二）便捷运维</w:t>
            </w:r>
          </w:p>
        </w:tc>
        <w:tc>
          <w:tcPr>
            <w:tcW w:w="3242" w:type="dxa"/>
          </w:tcPr>
          <w:p>
            <w:pPr>
              <w:spacing w:line="360" w:lineRule="auto"/>
              <w:rPr>
                <w:rFonts w:ascii="宋体" w:hAnsi="宋体"/>
                <w:szCs w:val="21"/>
              </w:rPr>
            </w:pPr>
            <w:r>
              <w:rPr>
                <w:rFonts w:hint="eastAsia" w:ascii="宋体" w:hAnsi="宋体"/>
                <w:szCs w:val="21"/>
              </w:rPr>
              <w:t>3、要求平台支持运维笔记管理功能，可统计笔记信息，并支持运维笔记导出。</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三、（二）便捷运维</w:t>
            </w: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r>
              <w:rPr>
                <w:rFonts w:hint="eastAsia" w:ascii="宋体" w:hAnsi="宋体"/>
                <w:sz w:val="21"/>
                <w:szCs w:val="21"/>
              </w:rPr>
              <w:t>4、要求平台支持文档管理功能，可基于运维需求管理各类文档，支持下载导出。</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rPr>
                <w:rFonts w:ascii="宋体" w:hAnsi="宋体"/>
                <w:szCs w:val="21"/>
              </w:rPr>
            </w:pPr>
            <w:r>
              <w:rPr>
                <w:rFonts w:hint="eastAsia" w:ascii="宋体" w:hAnsi="宋体"/>
                <w:szCs w:val="21"/>
              </w:rPr>
              <w:t>三、（二）报警统计</w:t>
            </w:r>
          </w:p>
        </w:tc>
        <w:tc>
          <w:tcPr>
            <w:tcW w:w="3242" w:type="dxa"/>
          </w:tcPr>
          <w:p>
            <w:pPr>
              <w:spacing w:line="360" w:lineRule="auto"/>
              <w:rPr>
                <w:rFonts w:ascii="宋体" w:hAnsi="宋体"/>
                <w:szCs w:val="21"/>
              </w:rPr>
            </w:pPr>
            <w:r>
              <w:rPr>
                <w:rFonts w:hint="eastAsia" w:ascii="宋体" w:hAnsi="宋体"/>
                <w:szCs w:val="21"/>
              </w:rPr>
              <w:t>1、要求平台提供当前报警统计功能，展示报警详情。可根据报警类型、报警级别、设备类型、时间进行报警信息的统计，并可直接跟进处理。</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三、（二）报警统计</w:t>
            </w:r>
          </w:p>
        </w:tc>
        <w:tc>
          <w:tcPr>
            <w:tcW w:w="3242" w:type="dxa"/>
          </w:tcPr>
          <w:p>
            <w:pPr>
              <w:spacing w:line="360" w:lineRule="auto"/>
              <w:rPr>
                <w:rFonts w:ascii="宋体" w:hAnsi="宋体"/>
                <w:szCs w:val="21"/>
              </w:rPr>
            </w:pPr>
            <w:r>
              <w:rPr>
                <w:rFonts w:hint="eastAsia" w:ascii="宋体" w:hAnsi="宋体"/>
                <w:szCs w:val="21"/>
              </w:rPr>
              <w:t>2、要求平台提供历史报警信息的统计功能，可基于报警类型、时间段进行统计，并可导出统计结果。</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三、（二）报警统计</w:t>
            </w: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r>
              <w:rPr>
                <w:rFonts w:hint="eastAsia" w:ascii="宋体" w:hAnsi="宋体"/>
                <w:sz w:val="21"/>
                <w:szCs w:val="21"/>
              </w:rPr>
              <w:t>3、要求平台提供报警忽略机制，可根据需要选择忽略时长，并可对忽略报警信息进行统计导出。</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三、（二）报表分析</w:t>
            </w:r>
          </w:p>
        </w:tc>
        <w:tc>
          <w:tcPr>
            <w:tcW w:w="3242" w:type="dxa"/>
          </w:tcPr>
          <w:p>
            <w:pPr>
              <w:spacing w:line="360" w:lineRule="auto"/>
              <w:rPr>
                <w:rFonts w:ascii="宋体" w:hAnsi="宋体"/>
                <w:szCs w:val="21"/>
              </w:rPr>
            </w:pPr>
            <w:r>
              <w:rPr>
                <w:rFonts w:hint="eastAsia" w:ascii="宋体" w:hAnsi="宋体" w:cs="宋体"/>
                <w:szCs w:val="21"/>
              </w:rPr>
              <w:t>▲1、要求平台提供全网服务器、虚拟机资源的</w:t>
            </w:r>
            <w:r>
              <w:rPr>
                <w:rFonts w:ascii="宋体" w:hAnsi="宋体" w:cs="宋体"/>
                <w:szCs w:val="21"/>
              </w:rPr>
              <w:t>CPU、内存、硬盘资源的分配情况及分配合理度进行分析，同时支持台账导出功能。</w:t>
            </w:r>
            <w:r>
              <w:rPr>
                <w:rFonts w:hint="eastAsia" w:ascii="宋体" w:hAnsi="宋体" w:cs="宋体"/>
                <w:szCs w:val="21"/>
              </w:rPr>
              <w:t>（要求提供截图等相关证明材料）</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三、（二）报表分析</w:t>
            </w:r>
          </w:p>
        </w:tc>
        <w:tc>
          <w:tcPr>
            <w:tcW w:w="3242" w:type="dxa"/>
          </w:tcPr>
          <w:p>
            <w:pPr>
              <w:spacing w:line="360" w:lineRule="auto"/>
              <w:rPr>
                <w:rFonts w:ascii="宋体" w:hAnsi="宋体"/>
                <w:szCs w:val="21"/>
              </w:rPr>
            </w:pPr>
            <w:r>
              <w:rPr>
                <w:rFonts w:hint="eastAsia" w:ascii="宋体" w:hAnsi="宋体" w:cs="宋体"/>
                <w:szCs w:val="21"/>
              </w:rPr>
              <w:t>▲2、要求平台支持对跨平台操作系统的</w:t>
            </w:r>
            <w:r>
              <w:rPr>
                <w:rFonts w:ascii="宋体" w:hAnsi="宋体" w:cs="宋体"/>
                <w:szCs w:val="21"/>
              </w:rPr>
              <w:t>磁盘空间、Oracle表空间、ASM共享存储空间预计用完日期的预期预判，同时平台支持对空间用尽剩余天数，做报警提醒</w:t>
            </w:r>
            <w:r>
              <w:rPr>
                <w:rFonts w:hint="eastAsia" w:ascii="宋体" w:hAnsi="宋体" w:cs="宋体"/>
                <w:szCs w:val="21"/>
              </w:rPr>
              <w:t>。（要求提供截图等相关证明材料）</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三、（二）报表分析</w:t>
            </w:r>
          </w:p>
        </w:tc>
        <w:tc>
          <w:tcPr>
            <w:tcW w:w="3242" w:type="dxa"/>
          </w:tcPr>
          <w:p>
            <w:pPr>
              <w:spacing w:line="360" w:lineRule="auto"/>
              <w:rPr>
                <w:rFonts w:ascii="宋体" w:hAnsi="宋体"/>
                <w:szCs w:val="21"/>
              </w:rPr>
            </w:pPr>
            <w:r>
              <w:rPr>
                <w:rFonts w:hint="eastAsia" w:ascii="宋体" w:hAnsi="宋体" w:cs="宋体"/>
                <w:szCs w:val="21"/>
              </w:rPr>
              <w:t>▲3、要求平台支持设备速查功能，可以快速查询单台服务器的资源配置情况、使用情况、合理度分析三个维度在同一个页面内的直观对比展示，支持对</w:t>
            </w:r>
            <w:r>
              <w:rPr>
                <w:rFonts w:ascii="宋体" w:hAnsi="宋体" w:cs="宋体"/>
                <w:szCs w:val="21"/>
              </w:rPr>
              <w:t>CPU、内存性能昨日、今日、近一周平均的三线环比对照分析，支持对服务器报警情况进行日度/月度的环比对照，以及该服务器近一周报警类型占比情况的分析</w:t>
            </w:r>
            <w:r>
              <w:rPr>
                <w:rFonts w:hint="eastAsia" w:ascii="宋体" w:hAnsi="宋体" w:cs="宋体"/>
                <w:szCs w:val="21"/>
              </w:rPr>
              <w:t>。（要求提供截图等相关证明材料）</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三、（二）报表分析</w:t>
            </w: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r>
              <w:rPr>
                <w:rFonts w:hint="eastAsia" w:ascii="宋体" w:hAnsi="宋体" w:cs="宋体"/>
                <w:sz w:val="21"/>
                <w:szCs w:val="21"/>
              </w:rPr>
              <w:t>4、支持对物理资产、虚拟资产、业务资产进行分类统计。</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三、（二）移动报警</w:t>
            </w:r>
          </w:p>
        </w:tc>
        <w:tc>
          <w:tcPr>
            <w:tcW w:w="3242" w:type="dxa"/>
          </w:tcPr>
          <w:p>
            <w:pPr>
              <w:spacing w:line="360" w:lineRule="auto"/>
              <w:jc w:val="left"/>
              <w:rPr>
                <w:rFonts w:ascii="宋体" w:hAnsi="宋体" w:cs="宋体"/>
                <w:szCs w:val="21"/>
              </w:rPr>
            </w:pPr>
            <w:r>
              <w:rPr>
                <w:rFonts w:hint="eastAsia" w:ascii="宋体" w:hAnsi="宋体" w:cs="宋体"/>
                <w:szCs w:val="21"/>
              </w:rPr>
              <w:t>▲1、提供微信公众号的报警推送功能，并且支持权限管理，谁的业务谁负责接收报警。同时提供基于微信小程序进行告警接收与展示，同时支持图表化展示报警数据的多种形式分析展示。（要求提供截图等相关证明材料）</w:t>
            </w:r>
          </w:p>
          <w:p>
            <w:pPr>
              <w:pStyle w:val="17"/>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三、（二）移动报警</w:t>
            </w:r>
          </w:p>
        </w:tc>
        <w:tc>
          <w:tcPr>
            <w:tcW w:w="3242" w:type="dxa"/>
          </w:tcPr>
          <w:p>
            <w:pPr>
              <w:spacing w:line="360" w:lineRule="auto"/>
              <w:jc w:val="left"/>
              <w:rPr>
                <w:rFonts w:ascii="宋体" w:hAnsi="宋体"/>
                <w:szCs w:val="21"/>
              </w:rPr>
            </w:pPr>
            <w:r>
              <w:rPr>
                <w:rFonts w:hint="eastAsia" w:ascii="宋体" w:hAnsi="宋体" w:cs="宋体"/>
                <w:szCs w:val="21"/>
              </w:rPr>
              <w:t>2、提供基于小程序实现对我所管理服务器的资源（CPU、内存、硬盘）情况查看功能（包括资源配置、当前使用率、资源分配是否合理）；可查看一周报警走势图、一周报警类型排行、一周高频报警业务系统展示、一周高频报警I</w:t>
            </w:r>
            <w:r>
              <w:rPr>
                <w:rFonts w:ascii="宋体" w:hAnsi="宋体" w:cs="宋体"/>
                <w:szCs w:val="21"/>
              </w:rPr>
              <w:t>P</w:t>
            </w:r>
            <w:r>
              <w:rPr>
                <w:rFonts w:hint="eastAsia" w:ascii="宋体" w:hAnsi="宋体" w:cs="宋体"/>
                <w:szCs w:val="21"/>
              </w:rPr>
              <w:t>地址展示、一周运维笔记展示。</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三、（二）移动报警</w:t>
            </w:r>
          </w:p>
        </w:tc>
        <w:tc>
          <w:tcPr>
            <w:tcW w:w="3242" w:type="dxa"/>
          </w:tcPr>
          <w:p>
            <w:pPr>
              <w:spacing w:line="360" w:lineRule="auto"/>
              <w:jc w:val="left"/>
              <w:rPr>
                <w:rFonts w:ascii="宋体" w:hAnsi="宋体"/>
                <w:szCs w:val="21"/>
              </w:rPr>
            </w:pPr>
            <w:r>
              <w:rPr>
                <w:rFonts w:hint="eastAsia" w:ascii="宋体" w:hAnsi="宋体" w:cs="宋体"/>
                <w:szCs w:val="21"/>
              </w:rPr>
              <w:t>3、提供基于小程序实现对CPU、内存使用率周平均峰值排行，及硬盘和Oracle表空间预计一个之内用完清单展示功能。</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三、（二）移动报警</w:t>
            </w:r>
          </w:p>
        </w:tc>
        <w:tc>
          <w:tcPr>
            <w:tcW w:w="3242" w:type="dxa"/>
          </w:tcPr>
          <w:p>
            <w:pPr>
              <w:spacing w:line="360" w:lineRule="auto"/>
              <w:jc w:val="left"/>
              <w:rPr>
                <w:rFonts w:ascii="宋体" w:hAnsi="宋体"/>
                <w:szCs w:val="21"/>
              </w:rPr>
            </w:pPr>
            <w:r>
              <w:rPr>
                <w:rFonts w:hint="eastAsia" w:ascii="宋体" w:hAnsi="宋体" w:cs="宋体"/>
                <w:szCs w:val="21"/>
              </w:rPr>
              <w:t>4、提供基于小程序的网格化巡检情况的统计展示。支持展示一周巡检完成情况、上月巡检完成情况的各种排行榜、以及本月跟进笔记排行榜等功能。</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三、（二）移动报警</w:t>
            </w:r>
          </w:p>
        </w:tc>
        <w:tc>
          <w:tcPr>
            <w:tcW w:w="3242" w:type="dxa"/>
          </w:tcPr>
          <w:p>
            <w:pPr>
              <w:spacing w:line="360" w:lineRule="auto"/>
              <w:jc w:val="left"/>
              <w:rPr>
                <w:rFonts w:ascii="宋体" w:hAnsi="宋体"/>
                <w:szCs w:val="21"/>
              </w:rPr>
            </w:pPr>
            <w:r>
              <w:rPr>
                <w:rFonts w:hint="eastAsia" w:ascii="宋体" w:hAnsi="宋体" w:cs="宋体"/>
                <w:szCs w:val="21"/>
              </w:rPr>
              <w:t>5、要求平台支持基于微信小程序对报警信息跟进，记录跟进情况，支持语音输入。</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三、（二）移动报警</w:t>
            </w:r>
          </w:p>
        </w:tc>
        <w:tc>
          <w:tcPr>
            <w:tcW w:w="3242" w:type="dxa"/>
          </w:tcPr>
          <w:p>
            <w:pPr>
              <w:pStyle w:val="17"/>
              <w:widowControl/>
              <w:shd w:val="clear" w:color="auto" w:fill="FFFFFF"/>
              <w:spacing w:before="75" w:beforeAutospacing="0" w:after="75" w:afterAutospacing="0" w:line="420" w:lineRule="atLeast"/>
              <w:rPr>
                <w:rFonts w:ascii="宋体" w:hAnsi="宋体"/>
                <w:sz w:val="21"/>
                <w:szCs w:val="21"/>
              </w:rPr>
            </w:pPr>
            <w:r>
              <w:rPr>
                <w:rFonts w:hint="eastAsia" w:ascii="宋体" w:hAnsi="宋体" w:cs="宋体"/>
                <w:sz w:val="21"/>
                <w:szCs w:val="21"/>
              </w:rPr>
              <w:t>6、要求平台支持基于微信小程序对I</w:t>
            </w:r>
            <w:r>
              <w:rPr>
                <w:rFonts w:ascii="宋体" w:hAnsi="宋体" w:cs="宋体"/>
                <w:sz w:val="21"/>
                <w:szCs w:val="21"/>
              </w:rPr>
              <w:t>P</w:t>
            </w:r>
            <w:r>
              <w:rPr>
                <w:rFonts w:hint="eastAsia" w:ascii="宋体" w:hAnsi="宋体" w:cs="宋体"/>
                <w:sz w:val="21"/>
                <w:szCs w:val="21"/>
              </w:rPr>
              <w:t>地址模糊搜索，即使了解服务器的全面运行指标，包括：服务器的报警信息、性能情况、展示日度新增报警环比对照、阅读新增报警环比对照。</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三、（二）大屏可视化展示</w:t>
            </w:r>
          </w:p>
        </w:tc>
        <w:tc>
          <w:tcPr>
            <w:tcW w:w="3242" w:type="dxa"/>
          </w:tcPr>
          <w:p>
            <w:pPr>
              <w:spacing w:line="360" w:lineRule="auto"/>
              <w:rPr>
                <w:rFonts w:ascii="宋体" w:hAnsi="宋体"/>
                <w:szCs w:val="21"/>
              </w:rPr>
            </w:pPr>
            <w:r>
              <w:rPr>
                <w:rFonts w:hint="eastAsia" w:ascii="宋体" w:hAnsi="宋体"/>
                <w:szCs w:val="21"/>
              </w:rPr>
              <w:t>▲1、要求平台支持全局展示医院业务系统、数据库、物理服务器、存储设备、网络设备的数量；全局展示当前告警数与当前提醒数；全局展示连通性、磁盘空间、数据库、硬件故障、网络报警的报警数量；可滚动式展示当前的告警信息，并以图标的方式展示一周报警走势、一周高频报警设备。</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三、（二）大屏可视化展示</w:t>
            </w:r>
          </w:p>
        </w:tc>
        <w:tc>
          <w:tcPr>
            <w:tcW w:w="3242" w:type="dxa"/>
          </w:tcPr>
          <w:p>
            <w:pPr>
              <w:spacing w:line="360" w:lineRule="auto"/>
              <w:rPr>
                <w:rFonts w:ascii="宋体" w:hAnsi="宋体"/>
                <w:szCs w:val="21"/>
              </w:rPr>
            </w:pPr>
            <w:r>
              <w:rPr>
                <w:rFonts w:hint="eastAsia" w:ascii="宋体" w:hAnsi="宋体"/>
                <w:szCs w:val="21"/>
              </w:rPr>
              <w:t>2、要求平台支持可自定义配置重要业务，大屏展示配置的重要业务的C</w:t>
            </w:r>
            <w:r>
              <w:rPr>
                <w:rFonts w:ascii="宋体" w:hAnsi="宋体"/>
                <w:szCs w:val="21"/>
              </w:rPr>
              <w:t>PU/</w:t>
            </w:r>
            <w:r>
              <w:rPr>
                <w:rFonts w:hint="eastAsia" w:ascii="宋体" w:hAnsi="宋体"/>
                <w:szCs w:val="21"/>
              </w:rPr>
              <w:t>内存使用率情况，硬盘使用率情况。</w:t>
            </w:r>
          </w:p>
          <w:p>
            <w:pPr>
              <w:spacing w:line="360" w:lineRule="auto"/>
              <w:rPr>
                <w:rFonts w:ascii="宋体" w:hAnsi="宋体"/>
                <w:szCs w:val="21"/>
              </w:rPr>
            </w:pPr>
            <w:r>
              <w:rPr>
                <w:rFonts w:hint="eastAsia" w:ascii="宋体" w:hAnsi="宋体"/>
                <w:szCs w:val="21"/>
              </w:rPr>
              <w:t>要求平台支持对报警信息分析并大屏展示，分析维度包括不限于：一周报警/跟进走势、未回复报警时常分布，一周高频报警业务、一周高频报警I</w:t>
            </w:r>
            <w:r>
              <w:rPr>
                <w:rFonts w:ascii="宋体" w:hAnsi="宋体"/>
                <w:szCs w:val="21"/>
              </w:rPr>
              <w:t>P</w:t>
            </w:r>
            <w:r>
              <w:rPr>
                <w:rFonts w:hint="eastAsia" w:ascii="宋体" w:hAnsi="宋体"/>
                <w:szCs w:val="21"/>
              </w:rPr>
              <w:t>、一周报警分类统计等。</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pPr>
              <w:spacing w:before="120" w:after="120" w:line="400" w:lineRule="exact"/>
              <w:jc w:val="center"/>
              <w:rPr>
                <w:rFonts w:ascii="宋体" w:hAnsi="宋体"/>
                <w:szCs w:val="21"/>
              </w:rPr>
            </w:pPr>
            <w:r>
              <w:rPr>
                <w:rFonts w:hint="eastAsia" w:ascii="宋体" w:hAnsi="宋体"/>
                <w:szCs w:val="21"/>
              </w:rPr>
              <w:t>三、（二）大屏可视化展示</w:t>
            </w:r>
          </w:p>
        </w:tc>
        <w:tc>
          <w:tcPr>
            <w:tcW w:w="3242" w:type="dxa"/>
          </w:tcPr>
          <w:p>
            <w:pPr>
              <w:spacing w:line="360" w:lineRule="auto"/>
              <w:rPr>
                <w:rFonts w:ascii="宋体" w:hAnsi="宋体"/>
                <w:szCs w:val="21"/>
              </w:rPr>
            </w:pPr>
            <w:r>
              <w:rPr>
                <w:rFonts w:hint="eastAsia" w:ascii="宋体" w:hAnsi="宋体"/>
                <w:szCs w:val="21"/>
              </w:rPr>
              <w:t>3、要求平台支持对全局资源分析并大屏展示，包括但不限于：C</w:t>
            </w:r>
            <w:r>
              <w:rPr>
                <w:rFonts w:ascii="宋体" w:hAnsi="宋体"/>
                <w:szCs w:val="21"/>
              </w:rPr>
              <w:t>PU</w:t>
            </w:r>
            <w:r>
              <w:rPr>
                <w:rFonts w:hint="eastAsia" w:ascii="宋体" w:hAnsi="宋体"/>
                <w:szCs w:val="21"/>
              </w:rPr>
              <w:t>使用率T</w:t>
            </w:r>
            <w:r>
              <w:rPr>
                <w:rFonts w:ascii="宋体" w:hAnsi="宋体"/>
                <w:szCs w:val="21"/>
              </w:rPr>
              <w:t>OP</w:t>
            </w:r>
            <w:r>
              <w:rPr>
                <w:rFonts w:hint="eastAsia" w:ascii="宋体" w:hAnsi="宋体"/>
                <w:szCs w:val="21"/>
              </w:rPr>
              <w:t>5、C</w:t>
            </w:r>
            <w:r>
              <w:rPr>
                <w:rFonts w:ascii="宋体" w:hAnsi="宋体"/>
                <w:szCs w:val="21"/>
              </w:rPr>
              <w:t>PU</w:t>
            </w:r>
            <w:r>
              <w:rPr>
                <w:rFonts w:hint="eastAsia" w:ascii="宋体" w:hAnsi="宋体"/>
                <w:szCs w:val="21"/>
              </w:rPr>
              <w:t>周平均峰值T</w:t>
            </w:r>
            <w:r>
              <w:rPr>
                <w:rFonts w:ascii="宋体" w:hAnsi="宋体"/>
                <w:szCs w:val="21"/>
              </w:rPr>
              <w:t>OP</w:t>
            </w:r>
            <w:r>
              <w:rPr>
                <w:rFonts w:hint="eastAsia" w:ascii="宋体" w:hAnsi="宋体"/>
                <w:szCs w:val="21"/>
              </w:rPr>
              <w:t>5、内存使用率T</w:t>
            </w:r>
            <w:r>
              <w:rPr>
                <w:rFonts w:ascii="宋体" w:hAnsi="宋体"/>
                <w:szCs w:val="21"/>
              </w:rPr>
              <w:t>OP</w:t>
            </w:r>
            <w:r>
              <w:rPr>
                <w:rFonts w:hint="eastAsia" w:ascii="宋体" w:hAnsi="宋体"/>
                <w:szCs w:val="21"/>
              </w:rPr>
              <w:t>5、表空间使用率T</w:t>
            </w:r>
            <w:r>
              <w:rPr>
                <w:rFonts w:ascii="宋体" w:hAnsi="宋体"/>
                <w:szCs w:val="21"/>
              </w:rPr>
              <w:t>OP</w:t>
            </w:r>
            <w:r>
              <w:rPr>
                <w:rFonts w:hint="eastAsia" w:ascii="宋体" w:hAnsi="宋体"/>
                <w:szCs w:val="21"/>
              </w:rPr>
              <w:t>5、内存周平均峰值T</w:t>
            </w:r>
            <w:r>
              <w:rPr>
                <w:rFonts w:ascii="宋体" w:hAnsi="宋体"/>
                <w:szCs w:val="21"/>
              </w:rPr>
              <w:t>OP</w:t>
            </w:r>
            <w:r>
              <w:rPr>
                <w:rFonts w:hint="eastAsia" w:ascii="宋体" w:hAnsi="宋体"/>
                <w:szCs w:val="21"/>
              </w:rPr>
              <w:t>5、磁盘使用率T</w:t>
            </w:r>
            <w:r>
              <w:rPr>
                <w:rFonts w:ascii="宋体" w:hAnsi="宋体"/>
                <w:szCs w:val="21"/>
              </w:rPr>
              <w:t>OP</w:t>
            </w:r>
            <w:r>
              <w:rPr>
                <w:rFonts w:hint="eastAsia" w:ascii="宋体" w:hAnsi="宋体"/>
                <w:szCs w:val="21"/>
              </w:rPr>
              <w:t>5</w:t>
            </w:r>
            <w:r>
              <w:rPr>
                <w:rFonts w:ascii="宋体" w:hAnsi="宋体"/>
                <w:szCs w:val="21"/>
              </w:rPr>
              <w:t>.</w:t>
            </w:r>
          </w:p>
          <w:p>
            <w:pPr>
              <w:pStyle w:val="17"/>
              <w:widowControl/>
              <w:shd w:val="clear" w:color="auto" w:fill="FFFFFF"/>
              <w:spacing w:before="75" w:beforeAutospacing="0" w:after="75" w:afterAutospacing="0" w:line="420" w:lineRule="atLeast"/>
              <w:rPr>
                <w:rFonts w:ascii="宋体" w:hAnsi="宋体"/>
                <w:sz w:val="21"/>
                <w:szCs w:val="21"/>
              </w:rPr>
            </w:pPr>
            <w:r>
              <w:rPr>
                <w:rFonts w:hint="eastAsia" w:ascii="宋体" w:hAnsi="宋体"/>
                <w:sz w:val="21"/>
                <w:szCs w:val="21"/>
              </w:rPr>
              <w:t>要求平台支持网络拓扑图大屏展示，故障网络设备高亮显示，支持展示核心交换机C</w:t>
            </w:r>
            <w:r>
              <w:rPr>
                <w:rFonts w:ascii="宋体" w:hAnsi="宋体"/>
                <w:sz w:val="21"/>
                <w:szCs w:val="21"/>
              </w:rPr>
              <w:t>PU</w:t>
            </w:r>
            <w:r>
              <w:rPr>
                <w:rFonts w:hint="eastAsia" w:ascii="宋体" w:hAnsi="宋体"/>
                <w:sz w:val="21"/>
                <w:szCs w:val="21"/>
              </w:rPr>
              <w:t>使用率、内存使用率；支持显示网络上行速率、网络下行速率、网络错报数、网络贷款比T</w:t>
            </w:r>
            <w:r>
              <w:rPr>
                <w:rFonts w:ascii="宋体" w:hAnsi="宋体"/>
                <w:sz w:val="21"/>
                <w:szCs w:val="21"/>
              </w:rPr>
              <w:t>OP</w:t>
            </w:r>
            <w:r>
              <w:rPr>
                <w:rFonts w:hint="eastAsia" w:ascii="宋体" w:hAnsi="宋体"/>
                <w:sz w:val="21"/>
                <w:szCs w:val="21"/>
              </w:rPr>
              <w:t>设备展示。</w:t>
            </w: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bl>
    <w:p>
      <w:pPr>
        <w:spacing w:before="120" w:line="400" w:lineRule="exact"/>
        <w:ind w:left="840" w:right="183" w:rightChars="87" w:hanging="840" w:hangingChars="350"/>
        <w:rPr>
          <w:rFonts w:ascii="宋体" w:hAnsi="宋体"/>
          <w:sz w:val="24"/>
          <w:szCs w:val="24"/>
        </w:rPr>
      </w:pPr>
      <w:r>
        <w:rPr>
          <w:rFonts w:hint="eastAsia" w:ascii="宋体" w:hAnsi="宋体"/>
          <w:sz w:val="24"/>
          <w:szCs w:val="24"/>
        </w:rPr>
        <w:t>注：(1)</w:t>
      </w:r>
      <w:r>
        <w:rPr>
          <w:rFonts w:hint="eastAsia" w:ascii="宋体" w:hAnsi="宋体"/>
          <w:sz w:val="24"/>
          <w:szCs w:val="24"/>
        </w:rPr>
        <w:tab/>
      </w:r>
      <w:r>
        <w:rPr>
          <w:rFonts w:hint="eastAsia" w:ascii="宋体" w:hAnsi="宋体"/>
          <w:sz w:val="24"/>
          <w:szCs w:val="24"/>
        </w:rPr>
        <w:t>对照采购文件第二部分“服务需求书”中所列的要求逐一应答，对不满足要求项需列出偏差。如果仅注明“符合”、“满足”或不填写，将视为该项不符合。</w:t>
      </w:r>
    </w:p>
    <w:p>
      <w:pPr>
        <w:spacing w:before="120" w:line="400" w:lineRule="exact"/>
        <w:ind w:right="183" w:rightChars="87"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rPr>
        <w:tab/>
      </w:r>
      <w:r>
        <w:rPr>
          <w:rFonts w:hint="eastAsia" w:ascii="宋体" w:hAnsi="宋体"/>
          <w:sz w:val="24"/>
          <w:szCs w:val="24"/>
        </w:rPr>
        <w:t>表中条款号应与采购文件第二部分中所列条款号一致。</w:t>
      </w:r>
    </w:p>
    <w:p>
      <w:pPr>
        <w:spacing w:before="120" w:line="400" w:lineRule="exact"/>
        <w:ind w:right="183" w:rightChars="87"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rPr>
        <w:tab/>
      </w:r>
      <w:r>
        <w:rPr>
          <w:rFonts w:hint="eastAsia" w:ascii="宋体" w:hAnsi="宋体"/>
          <w:sz w:val="24"/>
          <w:szCs w:val="24"/>
        </w:rPr>
        <w:t>此表为格式表，各响应人可根据情况调整。</w:t>
      </w:r>
    </w:p>
    <w:p>
      <w:pPr>
        <w:snapToGrid w:val="0"/>
        <w:spacing w:line="480" w:lineRule="auto"/>
        <w:ind w:firstLine="550"/>
        <w:jc w:val="left"/>
        <w:rPr>
          <w:rFonts w:ascii="宋体" w:hAnsi="宋体"/>
          <w:sz w:val="24"/>
          <w:szCs w:val="24"/>
        </w:rPr>
      </w:pPr>
      <w:r>
        <w:rPr>
          <w:rFonts w:hint="eastAsia" w:ascii="宋体" w:hAnsi="宋体"/>
          <w:sz w:val="24"/>
          <w:szCs w:val="24"/>
        </w:rPr>
        <w:t>响应人（公章）：</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pPr>
        <w:snapToGrid w:val="0"/>
        <w:spacing w:line="480" w:lineRule="auto"/>
        <w:ind w:firstLine="550"/>
        <w:jc w:val="left"/>
        <w:rPr>
          <w:rFonts w:ascii="宋体" w:hAnsi="宋体"/>
          <w:sz w:val="24"/>
          <w:szCs w:val="24"/>
        </w:rPr>
      </w:pPr>
      <w:r>
        <w:rPr>
          <w:rFonts w:hint="eastAsia" w:ascii="宋体" w:hAnsi="宋体"/>
          <w:sz w:val="24"/>
          <w:szCs w:val="24"/>
        </w:rPr>
        <w:t>法定代表人/授权代表（签字）：</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pPr>
        <w:ind w:firstLine="600" w:firstLineChars="250"/>
        <w:jc w:val="left"/>
        <w:outlineLvl w:val="0"/>
        <w:rPr>
          <w:rFonts w:eastAsia="黑体"/>
          <w:sz w:val="24"/>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 w:val="24"/>
          <w:szCs w:val="24"/>
        </w:rPr>
        <w:t>日期：</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pPr>
        <w:spacing w:line="400" w:lineRule="atLeast"/>
        <w:jc w:val="left"/>
        <w:rPr>
          <w:rFonts w:ascii="宋体"/>
          <w:bCs/>
          <w:sz w:val="24"/>
          <w:szCs w:val="24"/>
        </w:rPr>
      </w:pPr>
      <w:r>
        <w:rPr>
          <w:rFonts w:hint="eastAsia" w:ascii="宋体"/>
          <w:bCs/>
          <w:sz w:val="24"/>
          <w:szCs w:val="24"/>
        </w:rPr>
        <w:t>附件十</w:t>
      </w:r>
    </w:p>
    <w:p>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pPr>
        <w:spacing w:line="588" w:lineRule="exact"/>
        <w:rPr>
          <w:rFonts w:ascii="仿宋_GB2312" w:eastAsia="仿宋_GB2312"/>
          <w:b/>
          <w:spacing w:val="6"/>
          <w:sz w:val="30"/>
          <w:szCs w:val="30"/>
        </w:rPr>
      </w:pPr>
    </w:p>
    <w:p>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rPr>
          <w:rFonts w:ascii="宋体"/>
          <w:b/>
          <w:sz w:val="28"/>
        </w:rPr>
      </w:pPr>
    </w:p>
    <w:p>
      <w:pPr>
        <w:spacing w:line="400" w:lineRule="atLeast"/>
        <w:jc w:val="left"/>
        <w:rPr>
          <w:rFonts w:ascii="宋体"/>
          <w:bCs/>
          <w:sz w:val="24"/>
          <w:szCs w:val="24"/>
        </w:rPr>
      </w:pPr>
      <w:r>
        <w:rPr>
          <w:rFonts w:hint="eastAsia" w:ascii="宋体"/>
          <w:bCs/>
          <w:sz w:val="24"/>
          <w:szCs w:val="24"/>
        </w:rPr>
        <w:t>附件十一</w:t>
      </w:r>
    </w:p>
    <w:p>
      <w:pPr>
        <w:pStyle w:val="4"/>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pPr>
        <w:spacing w:line="360" w:lineRule="auto"/>
        <w:ind w:left="1080" w:leftChars="257" w:hanging="540"/>
        <w:jc w:val="center"/>
        <w:rPr>
          <w:rFonts w:ascii="仿宋_GB2312" w:hAnsi="Arial" w:eastAsia="仿宋_GB2312"/>
          <w:b/>
          <w:sz w:val="24"/>
        </w:rPr>
      </w:pPr>
    </w:p>
    <w:p>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属于监狱企业并作为分包方，其提供协议合同金额占到分包意向协议合同总金额的比例为。后附省级以上监狱管理局、戒毒管理局（含新疆生产建设兵团）出具的属于监狱企业的证明文件。</w:t>
      </w:r>
    </w:p>
    <w:p>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pPr>
        <w:widowControl/>
        <w:spacing w:before="100" w:beforeAutospacing="1" w:after="100" w:afterAutospacing="1" w:line="360" w:lineRule="auto"/>
        <w:jc w:val="left"/>
        <w:rPr>
          <w:rFonts w:ascii="仿宋_GB2312" w:hAnsi="仿宋" w:eastAsia="仿宋_GB2312" w:cs="宋体"/>
          <w:sz w:val="24"/>
        </w:rPr>
      </w:pPr>
    </w:p>
    <w:p>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pPr>
        <w:widowControl/>
        <w:spacing w:before="100" w:beforeAutospacing="1" w:after="100" w:afterAutospacing="1" w:line="330" w:lineRule="atLeast"/>
        <w:ind w:firstLine="5280" w:firstLineChars="2200"/>
        <w:jc w:val="left"/>
        <w:rPr>
          <w:rFonts w:ascii="仿宋_GB2312" w:hAnsi="仿宋" w:eastAsia="仿宋_GB2312" w:cs="宋体"/>
          <w:sz w:val="24"/>
        </w:rPr>
      </w:pPr>
    </w:p>
    <w:p>
      <w:pPr>
        <w:spacing w:line="400" w:lineRule="atLeast"/>
        <w:rPr>
          <w:rFonts w:ascii="宋体"/>
          <w:sz w:val="24"/>
        </w:rPr>
      </w:pPr>
    </w:p>
    <w:p>
      <w:pPr>
        <w:pStyle w:val="36"/>
        <w:ind w:firstLine="0" w:firstLineChars="0"/>
        <w:rPr>
          <w:rFonts w:hint="default"/>
        </w:rPr>
      </w:pPr>
    </w:p>
    <w:p>
      <w:pPr>
        <w:pStyle w:val="17"/>
        <w:spacing w:line="360" w:lineRule="auto"/>
        <w:rPr>
          <w:rFonts w:ascii="宋体" w:hAnsi="宋体" w:cs="宋体"/>
          <w:sz w:val="28"/>
          <w:szCs w:val="28"/>
        </w:rPr>
      </w:pPr>
      <w:r>
        <w:rPr>
          <w:rFonts w:hint="eastAsia" w:ascii="宋体" w:hAnsi="宋体" w:cs="宋体"/>
        </w:rPr>
        <w:t>附件十二</w:t>
      </w:r>
    </w:p>
    <w:p>
      <w:pPr>
        <w:pStyle w:val="17"/>
        <w:spacing w:line="360" w:lineRule="auto"/>
        <w:jc w:val="center"/>
        <w:rPr>
          <w:rFonts w:ascii="宋体" w:hAnsi="宋体" w:cs="宋体"/>
          <w:sz w:val="28"/>
          <w:szCs w:val="28"/>
        </w:rPr>
      </w:pPr>
      <w:r>
        <w:rPr>
          <w:rStyle w:val="22"/>
          <w:rFonts w:hint="eastAsia" w:ascii="宋体" w:hAnsi="宋体" w:cs="宋体"/>
          <w:sz w:val="28"/>
          <w:szCs w:val="28"/>
        </w:rPr>
        <w:t>中小企业划型标准规定</w:t>
      </w:r>
    </w:p>
    <w:p>
      <w:pPr>
        <w:numPr>
          <w:ilvl w:val="0"/>
          <w:numId w:val="9"/>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pPr>
        <w:widowControl/>
        <w:spacing w:before="100" w:beforeAutospacing="1" w:after="100" w:afterAutospacing="1" w:line="330" w:lineRule="atLeast"/>
        <w:jc w:val="left"/>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firstLine="480"/>
        <w:rPr>
          <w:rFonts w:hint="default" w:ascii="仿宋_GB2312" w:hAnsi="仿宋" w:eastAsia="仿宋_GB2312" w:cs="宋体"/>
          <w:sz w:val="24"/>
        </w:rPr>
      </w:pPr>
    </w:p>
    <w:p/>
    <w:p>
      <w:pPr>
        <w:pStyle w:val="36"/>
        <w:ind w:firstLine="480"/>
        <w:rPr>
          <w:rFonts w:hint="default" w:ascii="仿宋_GB2312" w:hAnsi="仿宋" w:eastAsia="仿宋_GB2312" w:cs="宋体"/>
          <w:sz w:val="24"/>
        </w:rPr>
      </w:pPr>
    </w:p>
    <w:p>
      <w:pPr>
        <w:rPr>
          <w:rFonts w:ascii="仿宋_GB2312" w:hAnsi="仿宋" w:eastAsia="仿宋_GB2312" w:cs="宋体"/>
          <w:sz w:val="24"/>
        </w:rPr>
      </w:pPr>
    </w:p>
    <w:p>
      <w:pPr>
        <w:pStyle w:val="36"/>
        <w:ind w:left="1680" w:firstLine="723"/>
        <w:rPr>
          <w:rFonts w:hint="default" w:hAnsi="宋体" w:cs="宋体"/>
          <w:b/>
          <w:bCs/>
          <w:sz w:val="36"/>
          <w:szCs w:val="36"/>
        </w:rPr>
      </w:pPr>
      <w:r>
        <w:rPr>
          <w:rFonts w:hAnsi="宋体" w:cs="宋体"/>
          <w:b/>
          <w:bCs/>
          <w:sz w:val="36"/>
          <w:szCs w:val="36"/>
        </w:rPr>
        <w:t>第五部分 评标细则</w:t>
      </w:r>
    </w:p>
    <w:p>
      <w:pPr>
        <w:spacing w:line="520" w:lineRule="exact"/>
        <w:jc w:val="left"/>
        <w:rPr>
          <w:rFonts w:ascii="宋体" w:hAnsi="宋体"/>
          <w:b/>
          <w:sz w:val="24"/>
          <w:szCs w:val="24"/>
        </w:rPr>
      </w:pPr>
      <w:r>
        <w:rPr>
          <w:rFonts w:hint="eastAsia" w:ascii="宋体" w:hAnsi="宋体"/>
          <w:b/>
          <w:sz w:val="24"/>
          <w:szCs w:val="24"/>
        </w:rPr>
        <w:t>一、总则</w:t>
      </w:r>
    </w:p>
    <w:p>
      <w:pPr>
        <w:spacing w:line="480" w:lineRule="exact"/>
        <w:ind w:firstLine="482"/>
        <w:rPr>
          <w:rFonts w:ascii="宋体" w:hAnsi="宋体"/>
          <w:sz w:val="24"/>
          <w:szCs w:val="24"/>
        </w:rPr>
      </w:pPr>
      <w:r>
        <w:rPr>
          <w:rFonts w:hint="eastAsia" w:ascii="宋体" w:hAnsi="宋体"/>
          <w:sz w:val="24"/>
          <w:szCs w:val="24"/>
        </w:rPr>
        <w:t>评标委员会将仅对在实质上响应需求文件要求的论证文件进行评价和比较。论证文件的评价采用综合评分法，评分按商务、技术和价格三部分分别打分的方式进行。满分为100分。</w:t>
      </w:r>
    </w:p>
    <w:p>
      <w:pPr>
        <w:spacing w:line="480" w:lineRule="exact"/>
        <w:rPr>
          <w:rFonts w:ascii="宋体" w:hAnsi="宋体"/>
          <w:sz w:val="24"/>
          <w:szCs w:val="24"/>
        </w:rPr>
      </w:pPr>
      <w:r>
        <w:rPr>
          <w:rFonts w:hint="eastAsia" w:ascii="宋体" w:hAnsi="宋体"/>
          <w:b/>
          <w:bCs/>
          <w:sz w:val="24"/>
          <w:szCs w:val="24"/>
        </w:rPr>
        <w:t>二、评分细则</w:t>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p>
    <w:tbl>
      <w:tblPr>
        <w:tblStyle w:val="19"/>
        <w:tblW w:w="5296" w:type="pct"/>
        <w:tblInd w:w="-31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1"/>
        <w:gridCol w:w="859"/>
        <w:gridCol w:w="1369"/>
        <w:gridCol w:w="647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407" w:type="pct"/>
            <w:vAlign w:val="center"/>
          </w:tcPr>
          <w:p>
            <w:pPr>
              <w:widowControl/>
              <w:spacing w:beforeLines="50" w:line="360" w:lineRule="auto"/>
              <w:jc w:val="center"/>
              <w:rPr>
                <w:rFonts w:ascii="宋体" w:hAnsi="宋体" w:cs="Arial"/>
                <w:szCs w:val="21"/>
              </w:rPr>
            </w:pPr>
            <w:bookmarkStart w:id="104" w:name="_Hlk78876790"/>
            <w:r>
              <w:rPr>
                <w:rFonts w:ascii="宋体" w:hAnsi="宋体" w:cs="Arial"/>
                <w:szCs w:val="21"/>
              </w:rPr>
              <w:t>内容</w:t>
            </w:r>
          </w:p>
        </w:tc>
        <w:tc>
          <w:tcPr>
            <w:tcW w:w="453" w:type="pct"/>
            <w:vAlign w:val="center"/>
          </w:tcPr>
          <w:p>
            <w:pPr>
              <w:widowControl/>
              <w:spacing w:beforeLines="50" w:line="360" w:lineRule="auto"/>
              <w:jc w:val="center"/>
              <w:rPr>
                <w:rFonts w:ascii="宋体" w:hAnsi="宋体" w:cs="Arial"/>
                <w:szCs w:val="21"/>
              </w:rPr>
            </w:pPr>
            <w:r>
              <w:rPr>
                <w:rFonts w:ascii="宋体" w:hAnsi="宋体" w:cs="Arial"/>
                <w:szCs w:val="21"/>
              </w:rPr>
              <w:t>分值</w:t>
            </w:r>
          </w:p>
        </w:tc>
        <w:tc>
          <w:tcPr>
            <w:tcW w:w="722" w:type="pct"/>
            <w:vAlign w:val="center"/>
          </w:tcPr>
          <w:p>
            <w:pPr>
              <w:widowControl/>
              <w:spacing w:beforeLines="50" w:line="360" w:lineRule="auto"/>
              <w:jc w:val="center"/>
              <w:rPr>
                <w:rFonts w:ascii="宋体" w:hAnsi="宋体" w:cs="Arial"/>
                <w:szCs w:val="21"/>
              </w:rPr>
            </w:pPr>
            <w:r>
              <w:rPr>
                <w:rFonts w:ascii="宋体" w:hAnsi="宋体" w:cs="Arial"/>
                <w:szCs w:val="21"/>
              </w:rPr>
              <w:t>评分因素分项</w:t>
            </w:r>
          </w:p>
        </w:tc>
        <w:tc>
          <w:tcPr>
            <w:tcW w:w="3417" w:type="pct"/>
            <w:vAlign w:val="center"/>
          </w:tcPr>
          <w:p>
            <w:pPr>
              <w:widowControl/>
              <w:spacing w:beforeLines="50" w:line="360" w:lineRule="auto"/>
              <w:jc w:val="center"/>
              <w:rPr>
                <w:rFonts w:ascii="宋体" w:hAnsi="宋体" w:cs="Arial"/>
                <w:szCs w:val="21"/>
              </w:rPr>
            </w:pPr>
            <w:r>
              <w:rPr>
                <w:rFonts w:ascii="宋体" w:hAnsi="宋体" w:cs="Arial"/>
                <w:szCs w:val="21"/>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3" w:hRule="atLeast"/>
        </w:trPr>
        <w:tc>
          <w:tcPr>
            <w:tcW w:w="407" w:type="pct"/>
            <w:vAlign w:val="center"/>
          </w:tcPr>
          <w:p>
            <w:pPr>
              <w:widowControl/>
              <w:spacing w:beforeLines="50" w:line="360" w:lineRule="auto"/>
              <w:rPr>
                <w:rFonts w:ascii="宋体" w:hAnsi="宋体" w:cs="Arial"/>
                <w:szCs w:val="21"/>
              </w:rPr>
            </w:pPr>
            <w:r>
              <w:rPr>
                <w:rFonts w:hint="eastAsia" w:ascii="宋体" w:hAnsi="宋体" w:cs="Arial"/>
                <w:szCs w:val="21"/>
              </w:rPr>
              <w:t>价格</w:t>
            </w:r>
          </w:p>
        </w:tc>
        <w:tc>
          <w:tcPr>
            <w:tcW w:w="453" w:type="pct"/>
            <w:vAlign w:val="center"/>
          </w:tcPr>
          <w:p>
            <w:pPr>
              <w:widowControl/>
              <w:spacing w:beforeLines="50" w:line="360" w:lineRule="auto"/>
              <w:jc w:val="center"/>
              <w:rPr>
                <w:rFonts w:ascii="宋体" w:hAnsi="宋体" w:cs="Arial"/>
                <w:szCs w:val="21"/>
              </w:rPr>
            </w:pPr>
            <w:r>
              <w:rPr>
                <w:rFonts w:ascii="宋体" w:hAnsi="宋体" w:cs="Arial"/>
                <w:szCs w:val="21"/>
              </w:rPr>
              <w:t>20</w:t>
            </w:r>
          </w:p>
        </w:tc>
        <w:tc>
          <w:tcPr>
            <w:tcW w:w="722" w:type="pct"/>
            <w:vAlign w:val="center"/>
          </w:tcPr>
          <w:p>
            <w:pPr>
              <w:widowControl/>
              <w:spacing w:beforeLines="50" w:line="360" w:lineRule="auto"/>
              <w:jc w:val="center"/>
              <w:rPr>
                <w:rFonts w:ascii="宋体" w:hAnsi="宋体" w:cs="Arial"/>
                <w:szCs w:val="21"/>
              </w:rPr>
            </w:pPr>
            <w:r>
              <w:rPr>
                <w:rFonts w:ascii="宋体" w:hAnsi="宋体" w:cs="Arial"/>
                <w:szCs w:val="21"/>
              </w:rPr>
              <w:t>评标价格</w:t>
            </w:r>
          </w:p>
        </w:tc>
        <w:tc>
          <w:tcPr>
            <w:tcW w:w="3417" w:type="pct"/>
            <w:vAlign w:val="center"/>
          </w:tcPr>
          <w:p>
            <w:pPr>
              <w:widowControl/>
              <w:snapToGrid w:val="0"/>
              <w:spacing w:line="360" w:lineRule="auto"/>
              <w:rPr>
                <w:rFonts w:ascii="宋体" w:hAnsi="宋体" w:cs="Arial"/>
                <w:szCs w:val="21"/>
              </w:rPr>
            </w:pPr>
            <w:r>
              <w:rPr>
                <w:rFonts w:ascii="宋体" w:hAnsi="宋体" w:cs="Arial"/>
                <w:szCs w:val="21"/>
              </w:rPr>
              <w:t>评标价格分数=（评标基准价/投标报价）×价格权重（20%）×100备注：实质性响应</w:t>
            </w:r>
            <w:r>
              <w:rPr>
                <w:rFonts w:hint="eastAsia" w:ascii="宋体" w:hAnsi="宋体" w:cs="Arial"/>
                <w:szCs w:val="21"/>
              </w:rPr>
              <w:t>采购</w:t>
            </w:r>
            <w:r>
              <w:rPr>
                <w:rFonts w:ascii="宋体" w:hAnsi="宋体" w:cs="Arial"/>
                <w:szCs w:val="21"/>
              </w:rPr>
              <w:t>文件要求且价格最低的投标报价为评标基准价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0" w:hRule="atLeast"/>
        </w:trPr>
        <w:tc>
          <w:tcPr>
            <w:tcW w:w="407" w:type="pct"/>
            <w:vMerge w:val="restart"/>
            <w:vAlign w:val="center"/>
          </w:tcPr>
          <w:p>
            <w:pPr>
              <w:widowControl/>
              <w:spacing w:beforeLines="50" w:line="360" w:lineRule="auto"/>
              <w:jc w:val="center"/>
              <w:rPr>
                <w:rFonts w:ascii="宋体" w:hAnsi="宋体" w:cs="Arial"/>
                <w:szCs w:val="21"/>
              </w:rPr>
            </w:pPr>
            <w:r>
              <w:rPr>
                <w:rFonts w:ascii="宋体" w:hAnsi="宋体" w:cs="Arial"/>
                <w:szCs w:val="21"/>
              </w:rPr>
              <w:t>商务部分</w:t>
            </w:r>
          </w:p>
        </w:tc>
        <w:tc>
          <w:tcPr>
            <w:tcW w:w="453" w:type="pct"/>
            <w:vMerge w:val="restart"/>
            <w:vAlign w:val="center"/>
          </w:tcPr>
          <w:p>
            <w:pPr>
              <w:widowControl/>
              <w:spacing w:beforeLines="50" w:line="360" w:lineRule="auto"/>
              <w:jc w:val="center"/>
              <w:rPr>
                <w:rFonts w:ascii="宋体" w:hAnsi="宋体" w:cs="Arial"/>
                <w:szCs w:val="21"/>
              </w:rPr>
            </w:pPr>
            <w:r>
              <w:rPr>
                <w:rFonts w:ascii="宋体" w:hAnsi="宋体" w:cs="Arial"/>
                <w:szCs w:val="21"/>
              </w:rPr>
              <w:t>24</w:t>
            </w:r>
          </w:p>
        </w:tc>
        <w:tc>
          <w:tcPr>
            <w:tcW w:w="722" w:type="pct"/>
            <w:vMerge w:val="restart"/>
            <w:vAlign w:val="center"/>
          </w:tcPr>
          <w:p>
            <w:pPr>
              <w:widowControl/>
              <w:spacing w:beforeLines="50" w:line="360" w:lineRule="auto"/>
              <w:jc w:val="center"/>
              <w:rPr>
                <w:rFonts w:ascii="宋体" w:hAnsi="宋体" w:cs="Arial"/>
                <w:szCs w:val="21"/>
                <w:u w:val="single"/>
              </w:rPr>
            </w:pPr>
            <w:r>
              <w:rPr>
                <w:rFonts w:hint="eastAsia" w:ascii="宋体" w:hAnsi="宋体" w:cs="Arial"/>
                <w:szCs w:val="21"/>
              </w:rPr>
              <w:t>响应人资质</w:t>
            </w:r>
            <w:r>
              <w:rPr>
                <w:rFonts w:ascii="宋体" w:hAnsi="宋体" w:cs="Arial"/>
                <w:szCs w:val="21"/>
              </w:rPr>
              <w:t>(8分)</w:t>
            </w:r>
          </w:p>
        </w:tc>
        <w:tc>
          <w:tcPr>
            <w:tcW w:w="3417" w:type="pct"/>
            <w:vAlign w:val="center"/>
          </w:tcPr>
          <w:p>
            <w:pPr>
              <w:widowControl/>
              <w:snapToGrid w:val="0"/>
              <w:spacing w:line="360" w:lineRule="auto"/>
              <w:rPr>
                <w:rFonts w:ascii="宋体" w:hAnsi="宋体" w:cs="Arial"/>
                <w:szCs w:val="21"/>
              </w:rPr>
            </w:pPr>
            <w:r>
              <w:rPr>
                <w:rFonts w:hint="eastAsia" w:ascii="宋体" w:hAnsi="宋体" w:cs="Arial"/>
                <w:szCs w:val="21"/>
              </w:rPr>
              <w:t>响应人</w:t>
            </w:r>
            <w:r>
              <w:rPr>
                <w:rFonts w:ascii="宋体" w:hAnsi="宋体" w:cs="Arial"/>
                <w:szCs w:val="21"/>
              </w:rPr>
              <w:t>具有有效期内的IT服务管理体系认证证书（ISO/IEC20000-1:2018）得2分，否则不得分，要求提供证书复印件并加盖</w:t>
            </w:r>
            <w:r>
              <w:rPr>
                <w:rFonts w:hint="eastAsia" w:ascii="宋体" w:hAnsi="宋体" w:cs="Arial"/>
                <w:szCs w:val="21"/>
              </w:rPr>
              <w:t>响应人</w:t>
            </w:r>
            <w:r>
              <w:rPr>
                <w:rFonts w:ascii="宋体" w:hAnsi="宋体" w:cs="Arial"/>
                <w:szCs w:val="21"/>
              </w:rPr>
              <w:t>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7" w:type="pct"/>
            <w:vMerge w:val="continue"/>
            <w:vAlign w:val="center"/>
          </w:tcPr>
          <w:p>
            <w:pPr>
              <w:widowControl/>
              <w:spacing w:beforeLines="50" w:line="360" w:lineRule="auto"/>
              <w:jc w:val="center"/>
              <w:rPr>
                <w:rFonts w:ascii="宋体" w:hAnsi="宋体" w:cs="Arial"/>
                <w:szCs w:val="21"/>
              </w:rPr>
            </w:pPr>
          </w:p>
        </w:tc>
        <w:tc>
          <w:tcPr>
            <w:tcW w:w="453" w:type="pct"/>
            <w:vMerge w:val="continue"/>
            <w:vAlign w:val="center"/>
          </w:tcPr>
          <w:p>
            <w:pPr>
              <w:widowControl/>
              <w:spacing w:beforeLines="50" w:line="360" w:lineRule="auto"/>
              <w:jc w:val="center"/>
              <w:rPr>
                <w:rFonts w:ascii="宋体" w:hAnsi="宋体" w:cs="Arial"/>
                <w:szCs w:val="21"/>
              </w:rPr>
            </w:pPr>
          </w:p>
        </w:tc>
        <w:tc>
          <w:tcPr>
            <w:tcW w:w="722" w:type="pct"/>
            <w:vMerge w:val="continue"/>
            <w:vAlign w:val="center"/>
          </w:tcPr>
          <w:p>
            <w:pPr>
              <w:widowControl/>
              <w:spacing w:beforeLines="50" w:line="360" w:lineRule="auto"/>
              <w:jc w:val="center"/>
              <w:rPr>
                <w:rFonts w:ascii="宋体" w:hAnsi="宋体" w:cs="Arial"/>
                <w:szCs w:val="21"/>
              </w:rPr>
            </w:pPr>
          </w:p>
        </w:tc>
        <w:tc>
          <w:tcPr>
            <w:tcW w:w="3417" w:type="pct"/>
            <w:vAlign w:val="center"/>
          </w:tcPr>
          <w:p>
            <w:pPr>
              <w:widowControl/>
              <w:snapToGrid w:val="0"/>
              <w:spacing w:line="360" w:lineRule="auto"/>
              <w:rPr>
                <w:rFonts w:ascii="宋体" w:hAnsi="宋体" w:cs="Arial"/>
                <w:szCs w:val="21"/>
              </w:rPr>
            </w:pPr>
            <w:r>
              <w:rPr>
                <w:rFonts w:hint="eastAsia" w:ascii="宋体" w:hAnsi="宋体" w:cs="Arial"/>
                <w:szCs w:val="21"/>
              </w:rPr>
              <w:t>响应人</w:t>
            </w:r>
            <w:r>
              <w:rPr>
                <w:rFonts w:ascii="宋体" w:hAnsi="宋体" w:cs="Arial"/>
                <w:szCs w:val="21"/>
              </w:rPr>
              <w:t>具有有效期内的信息安全管理体系认证证书（ISO/IEC27001:2013）得2分，否则不得分，要求提供证书复印件并加盖</w:t>
            </w:r>
            <w:r>
              <w:rPr>
                <w:rFonts w:hint="eastAsia" w:ascii="宋体" w:hAnsi="宋体" w:cs="Arial"/>
                <w:szCs w:val="21"/>
              </w:rPr>
              <w:t>响应人</w:t>
            </w:r>
            <w:r>
              <w:rPr>
                <w:rFonts w:ascii="宋体" w:hAnsi="宋体" w:cs="Arial"/>
                <w:szCs w:val="21"/>
              </w:rPr>
              <w:t>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7" w:type="pct"/>
            <w:vMerge w:val="continue"/>
            <w:vAlign w:val="center"/>
          </w:tcPr>
          <w:p>
            <w:pPr>
              <w:widowControl/>
              <w:spacing w:beforeLines="50" w:line="360" w:lineRule="auto"/>
              <w:jc w:val="center"/>
              <w:rPr>
                <w:rFonts w:ascii="宋体" w:hAnsi="宋体" w:cs="Arial"/>
                <w:szCs w:val="21"/>
              </w:rPr>
            </w:pPr>
          </w:p>
        </w:tc>
        <w:tc>
          <w:tcPr>
            <w:tcW w:w="453" w:type="pct"/>
            <w:vMerge w:val="continue"/>
            <w:vAlign w:val="center"/>
          </w:tcPr>
          <w:p>
            <w:pPr>
              <w:widowControl/>
              <w:spacing w:beforeLines="50" w:line="360" w:lineRule="auto"/>
              <w:jc w:val="center"/>
              <w:rPr>
                <w:rFonts w:ascii="宋体" w:hAnsi="宋体" w:cs="Arial"/>
                <w:szCs w:val="21"/>
              </w:rPr>
            </w:pPr>
          </w:p>
        </w:tc>
        <w:tc>
          <w:tcPr>
            <w:tcW w:w="722" w:type="pct"/>
            <w:vMerge w:val="continue"/>
            <w:vAlign w:val="center"/>
          </w:tcPr>
          <w:p>
            <w:pPr>
              <w:widowControl/>
              <w:spacing w:beforeLines="50" w:line="360" w:lineRule="auto"/>
              <w:jc w:val="center"/>
              <w:rPr>
                <w:rFonts w:ascii="宋体" w:hAnsi="宋体" w:cs="Arial"/>
                <w:szCs w:val="21"/>
              </w:rPr>
            </w:pPr>
          </w:p>
        </w:tc>
        <w:tc>
          <w:tcPr>
            <w:tcW w:w="3417" w:type="pct"/>
            <w:vAlign w:val="center"/>
          </w:tcPr>
          <w:p>
            <w:pPr>
              <w:widowControl/>
              <w:snapToGrid w:val="0"/>
              <w:spacing w:line="360" w:lineRule="auto"/>
              <w:rPr>
                <w:rFonts w:ascii="宋体" w:hAnsi="宋体" w:cs="Arial"/>
                <w:szCs w:val="21"/>
              </w:rPr>
            </w:pPr>
            <w:r>
              <w:rPr>
                <w:rFonts w:hint="eastAsia" w:ascii="等线" w:hAnsi="等线" w:cs="Arial"/>
                <w:szCs w:val="21"/>
              </w:rPr>
              <w:t>响应人具有信息技术服务运行维护标准符合性证书（ITSS）达到叁级（含）以上得</w:t>
            </w:r>
            <w:r>
              <w:rPr>
                <w:rFonts w:ascii="等线" w:hAnsi="等线" w:cs="Arial"/>
                <w:szCs w:val="21"/>
              </w:rPr>
              <w:t>1</w:t>
            </w:r>
            <w:r>
              <w:rPr>
                <w:rFonts w:hint="eastAsia" w:ascii="等线" w:hAnsi="等线" w:cs="Arial"/>
                <w:szCs w:val="21"/>
              </w:rPr>
              <w:t>分，否则不得分，</w:t>
            </w:r>
            <w:r>
              <w:rPr>
                <w:rFonts w:ascii="等线" w:hAnsi="等线" w:cs="Arial"/>
                <w:color w:val="000000"/>
                <w:szCs w:val="21"/>
              </w:rPr>
              <w:t>要求</w:t>
            </w:r>
            <w:r>
              <w:rPr>
                <w:rFonts w:ascii="等线" w:hAnsi="等线" w:cs="Arial"/>
                <w:szCs w:val="21"/>
              </w:rPr>
              <w:t>提供证书复印件并加盖</w:t>
            </w:r>
            <w:r>
              <w:rPr>
                <w:rFonts w:hint="eastAsia" w:ascii="等线" w:hAnsi="等线" w:cs="Arial"/>
                <w:szCs w:val="21"/>
              </w:rPr>
              <w:t>响应人</w:t>
            </w:r>
            <w:r>
              <w:rPr>
                <w:rFonts w:ascii="等线" w:hAnsi="等线" w:cs="Arial"/>
                <w:szCs w:val="21"/>
              </w:rPr>
              <w:t>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7" w:type="pct"/>
            <w:vMerge w:val="continue"/>
            <w:vAlign w:val="center"/>
          </w:tcPr>
          <w:p>
            <w:pPr>
              <w:widowControl/>
              <w:spacing w:beforeLines="50" w:line="360" w:lineRule="auto"/>
              <w:jc w:val="center"/>
              <w:rPr>
                <w:rFonts w:ascii="宋体" w:hAnsi="宋体" w:cs="Arial"/>
                <w:szCs w:val="21"/>
              </w:rPr>
            </w:pPr>
          </w:p>
        </w:tc>
        <w:tc>
          <w:tcPr>
            <w:tcW w:w="453" w:type="pct"/>
            <w:vMerge w:val="continue"/>
            <w:vAlign w:val="center"/>
          </w:tcPr>
          <w:p>
            <w:pPr>
              <w:widowControl/>
              <w:spacing w:beforeLines="50" w:line="360" w:lineRule="auto"/>
              <w:jc w:val="center"/>
              <w:rPr>
                <w:rFonts w:ascii="宋体" w:hAnsi="宋体" w:cs="Arial"/>
                <w:szCs w:val="21"/>
              </w:rPr>
            </w:pPr>
          </w:p>
        </w:tc>
        <w:tc>
          <w:tcPr>
            <w:tcW w:w="722" w:type="pct"/>
            <w:vMerge w:val="continue"/>
            <w:vAlign w:val="center"/>
          </w:tcPr>
          <w:p>
            <w:pPr>
              <w:widowControl/>
              <w:spacing w:beforeLines="50" w:line="360" w:lineRule="auto"/>
              <w:jc w:val="center"/>
              <w:rPr>
                <w:rFonts w:ascii="宋体" w:hAnsi="宋体" w:cs="Arial"/>
                <w:szCs w:val="21"/>
              </w:rPr>
            </w:pPr>
          </w:p>
        </w:tc>
        <w:tc>
          <w:tcPr>
            <w:tcW w:w="3417" w:type="pct"/>
            <w:vAlign w:val="center"/>
          </w:tcPr>
          <w:p>
            <w:pPr>
              <w:widowControl/>
              <w:snapToGrid w:val="0"/>
              <w:spacing w:line="360" w:lineRule="auto"/>
              <w:rPr>
                <w:rFonts w:ascii="宋体" w:hAnsi="宋体" w:cs="Arial"/>
                <w:szCs w:val="21"/>
              </w:rPr>
            </w:pPr>
            <w:r>
              <w:rPr>
                <w:rFonts w:hint="eastAsia" w:ascii="等线" w:hAnsi="等线" w:cs="Arial"/>
                <w:szCs w:val="21"/>
              </w:rPr>
              <w:t>响应人具有有效期内的 “专精特新”中小企业荣誉称号证书的得</w:t>
            </w:r>
            <w:r>
              <w:rPr>
                <w:rFonts w:ascii="等线" w:hAnsi="等线" w:cs="Arial"/>
                <w:szCs w:val="21"/>
              </w:rPr>
              <w:t>2</w:t>
            </w:r>
            <w:r>
              <w:rPr>
                <w:rFonts w:hint="eastAsia" w:ascii="等线" w:hAnsi="等线" w:cs="Arial"/>
                <w:szCs w:val="21"/>
              </w:rPr>
              <w:t>分，否则不得分，</w:t>
            </w:r>
            <w:r>
              <w:rPr>
                <w:rFonts w:ascii="等线" w:hAnsi="等线" w:cs="Arial"/>
                <w:color w:val="000000"/>
                <w:szCs w:val="21"/>
              </w:rPr>
              <w:t>要求</w:t>
            </w:r>
            <w:r>
              <w:rPr>
                <w:rFonts w:ascii="等线" w:hAnsi="等线" w:cs="Arial"/>
                <w:szCs w:val="21"/>
              </w:rPr>
              <w:t>提供证书复印件并加盖</w:t>
            </w:r>
            <w:r>
              <w:rPr>
                <w:rFonts w:hint="eastAsia" w:ascii="等线" w:hAnsi="等线" w:cs="Arial"/>
                <w:szCs w:val="21"/>
              </w:rPr>
              <w:t>响应人</w:t>
            </w:r>
            <w:r>
              <w:rPr>
                <w:rFonts w:ascii="等线" w:hAnsi="等线" w:cs="Arial"/>
                <w:szCs w:val="21"/>
              </w:rPr>
              <w:t>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7" w:type="pct"/>
            <w:vMerge w:val="continue"/>
            <w:vAlign w:val="center"/>
          </w:tcPr>
          <w:p>
            <w:pPr>
              <w:widowControl/>
              <w:spacing w:beforeLines="50" w:line="360" w:lineRule="auto"/>
              <w:jc w:val="center"/>
              <w:rPr>
                <w:rFonts w:ascii="宋体" w:hAnsi="宋体" w:cs="Arial"/>
                <w:szCs w:val="21"/>
              </w:rPr>
            </w:pPr>
          </w:p>
        </w:tc>
        <w:tc>
          <w:tcPr>
            <w:tcW w:w="453" w:type="pct"/>
            <w:vMerge w:val="continue"/>
            <w:vAlign w:val="center"/>
          </w:tcPr>
          <w:p>
            <w:pPr>
              <w:widowControl/>
              <w:spacing w:beforeLines="50" w:line="360" w:lineRule="auto"/>
              <w:jc w:val="center"/>
              <w:rPr>
                <w:rFonts w:ascii="宋体" w:hAnsi="宋体" w:cs="Arial"/>
                <w:szCs w:val="21"/>
              </w:rPr>
            </w:pPr>
          </w:p>
        </w:tc>
        <w:tc>
          <w:tcPr>
            <w:tcW w:w="722" w:type="pct"/>
            <w:vMerge w:val="continue"/>
            <w:vAlign w:val="center"/>
          </w:tcPr>
          <w:p>
            <w:pPr>
              <w:widowControl/>
              <w:spacing w:beforeLines="50" w:line="360" w:lineRule="auto"/>
              <w:jc w:val="center"/>
              <w:rPr>
                <w:rFonts w:ascii="宋体" w:hAnsi="宋体" w:cs="Arial"/>
                <w:szCs w:val="21"/>
              </w:rPr>
            </w:pPr>
          </w:p>
        </w:tc>
        <w:tc>
          <w:tcPr>
            <w:tcW w:w="3417" w:type="pct"/>
            <w:vAlign w:val="center"/>
          </w:tcPr>
          <w:p>
            <w:pPr>
              <w:widowControl/>
              <w:snapToGrid w:val="0"/>
              <w:spacing w:line="360" w:lineRule="auto"/>
              <w:rPr>
                <w:rFonts w:ascii="等线" w:hAnsi="等线" w:cs="Arial"/>
                <w:szCs w:val="21"/>
              </w:rPr>
            </w:pPr>
            <w:r>
              <w:rPr>
                <w:rFonts w:hint="eastAsia" w:ascii="等线" w:hAnsi="等线" w:cs="Arial"/>
                <w:szCs w:val="21"/>
              </w:rPr>
              <w:t>响应人具有有效期内的C</w:t>
            </w:r>
            <w:r>
              <w:rPr>
                <w:rFonts w:ascii="等线" w:hAnsi="等线" w:cs="Arial"/>
                <w:szCs w:val="21"/>
              </w:rPr>
              <w:t>CRC</w:t>
            </w:r>
            <w:r>
              <w:rPr>
                <w:rFonts w:hint="eastAsia" w:ascii="等线" w:hAnsi="等线" w:cs="Arial"/>
                <w:szCs w:val="21"/>
              </w:rPr>
              <w:t>信息安全服务资质认证二级（含）以上得</w:t>
            </w:r>
            <w:r>
              <w:rPr>
                <w:rFonts w:ascii="等线" w:hAnsi="等线" w:cs="Arial"/>
                <w:szCs w:val="21"/>
              </w:rPr>
              <w:t>1</w:t>
            </w:r>
            <w:r>
              <w:rPr>
                <w:rFonts w:hint="eastAsia" w:ascii="等线" w:hAnsi="等线" w:cs="Arial"/>
                <w:szCs w:val="21"/>
              </w:rPr>
              <w:t>分，否则不得分，</w:t>
            </w:r>
            <w:r>
              <w:rPr>
                <w:rFonts w:ascii="等线" w:hAnsi="等线" w:cs="Arial"/>
                <w:color w:val="000000"/>
                <w:szCs w:val="21"/>
              </w:rPr>
              <w:t>要求</w:t>
            </w:r>
            <w:r>
              <w:rPr>
                <w:rFonts w:ascii="等线" w:hAnsi="等线" w:cs="Arial"/>
                <w:szCs w:val="21"/>
              </w:rPr>
              <w:t>提供证书复印件并加盖</w:t>
            </w:r>
            <w:r>
              <w:rPr>
                <w:rFonts w:hint="eastAsia" w:ascii="等线" w:hAnsi="等线" w:cs="Arial"/>
                <w:szCs w:val="21"/>
              </w:rPr>
              <w:t>响应人</w:t>
            </w:r>
            <w:r>
              <w:rPr>
                <w:rFonts w:ascii="等线" w:hAnsi="等线" w:cs="Arial"/>
                <w:szCs w:val="21"/>
              </w:rPr>
              <w:t>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42" w:hRule="atLeast"/>
        </w:trPr>
        <w:tc>
          <w:tcPr>
            <w:tcW w:w="407" w:type="pct"/>
            <w:vMerge w:val="continue"/>
            <w:vAlign w:val="center"/>
          </w:tcPr>
          <w:p>
            <w:pPr>
              <w:widowControl/>
              <w:spacing w:beforeLines="50" w:line="360" w:lineRule="auto"/>
              <w:jc w:val="center"/>
              <w:rPr>
                <w:rFonts w:ascii="宋体" w:hAnsi="宋体" w:cs="Arial"/>
                <w:szCs w:val="21"/>
              </w:rPr>
            </w:pPr>
          </w:p>
        </w:tc>
        <w:tc>
          <w:tcPr>
            <w:tcW w:w="453" w:type="pct"/>
            <w:vMerge w:val="continue"/>
            <w:vAlign w:val="center"/>
          </w:tcPr>
          <w:p>
            <w:pPr>
              <w:widowControl/>
              <w:spacing w:beforeLines="50" w:line="360" w:lineRule="auto"/>
              <w:jc w:val="center"/>
              <w:rPr>
                <w:rFonts w:ascii="宋体" w:hAnsi="宋体" w:cs="Arial"/>
                <w:szCs w:val="21"/>
              </w:rPr>
            </w:pPr>
          </w:p>
        </w:tc>
        <w:tc>
          <w:tcPr>
            <w:tcW w:w="722" w:type="pct"/>
            <w:vAlign w:val="center"/>
          </w:tcPr>
          <w:p>
            <w:pPr>
              <w:widowControl/>
              <w:spacing w:beforeLines="50" w:line="360" w:lineRule="auto"/>
              <w:rPr>
                <w:rFonts w:ascii="宋体" w:hAnsi="宋体" w:cs="Arial"/>
                <w:szCs w:val="21"/>
              </w:rPr>
            </w:pPr>
            <w:r>
              <w:rPr>
                <w:rFonts w:hint="eastAsia" w:ascii="宋体" w:hAnsi="宋体" w:cs="Arial"/>
                <w:szCs w:val="21"/>
              </w:rPr>
              <w:t>经营业绩</w:t>
            </w:r>
            <w:r>
              <w:rPr>
                <w:rFonts w:ascii="宋体" w:hAnsi="宋体" w:cs="Arial"/>
                <w:szCs w:val="21"/>
              </w:rPr>
              <w:t>（16分）</w:t>
            </w:r>
          </w:p>
        </w:tc>
        <w:tc>
          <w:tcPr>
            <w:tcW w:w="3417" w:type="pct"/>
            <w:vAlign w:val="center"/>
          </w:tcPr>
          <w:p>
            <w:pPr>
              <w:widowControl/>
              <w:snapToGrid w:val="0"/>
              <w:spacing w:line="360" w:lineRule="auto"/>
              <w:rPr>
                <w:rFonts w:ascii="宋体" w:hAnsi="宋体" w:cs="Arial"/>
                <w:szCs w:val="21"/>
              </w:rPr>
            </w:pPr>
            <w:r>
              <w:rPr>
                <w:rFonts w:hint="eastAsia" w:ascii="等线" w:hAnsi="等线" w:cs="Arial"/>
                <w:szCs w:val="21"/>
              </w:rPr>
              <w:t>响应人所投产品原厂商近三年（2020年1月1日至投标截止期，合同签字日期为准）承担过运维监控管理系统软件项目的业绩证明文件，每提供1个类似销售案例得</w:t>
            </w:r>
            <w:r>
              <w:rPr>
                <w:rFonts w:ascii="等线" w:hAnsi="等线" w:cs="Arial"/>
                <w:szCs w:val="21"/>
              </w:rPr>
              <w:t>2</w:t>
            </w:r>
            <w:r>
              <w:rPr>
                <w:rFonts w:hint="eastAsia" w:ascii="等线" w:hAnsi="等线" w:cs="Arial"/>
                <w:szCs w:val="21"/>
              </w:rPr>
              <w:t>分，最高得</w:t>
            </w:r>
            <w:r>
              <w:rPr>
                <w:rFonts w:ascii="等线" w:hAnsi="等线" w:cs="Arial"/>
                <w:szCs w:val="21"/>
              </w:rPr>
              <w:t>16</w:t>
            </w:r>
            <w:r>
              <w:rPr>
                <w:rFonts w:hint="eastAsia" w:ascii="等线" w:hAnsi="等线" w:cs="Arial"/>
                <w:szCs w:val="21"/>
              </w:rPr>
              <w:t>分，不提供不得分。要求提供合同首页、盖章页复印件，要求包含对业务、软件、数据库、中间件等一个或多个关键字进行监控的内容。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52" w:hRule="atLeast"/>
        </w:trPr>
        <w:tc>
          <w:tcPr>
            <w:tcW w:w="407" w:type="pct"/>
            <w:vMerge w:val="restart"/>
            <w:vAlign w:val="center"/>
          </w:tcPr>
          <w:p>
            <w:pPr>
              <w:widowControl/>
              <w:spacing w:beforeLines="50" w:line="360" w:lineRule="auto"/>
              <w:jc w:val="center"/>
              <w:rPr>
                <w:rFonts w:ascii="宋体" w:hAnsi="宋体" w:cs="Arial"/>
                <w:szCs w:val="21"/>
              </w:rPr>
            </w:pPr>
            <w:r>
              <w:rPr>
                <w:rFonts w:ascii="宋体" w:hAnsi="宋体" w:cs="Arial"/>
                <w:szCs w:val="21"/>
              </w:rPr>
              <w:t>技术部分</w:t>
            </w:r>
          </w:p>
          <w:p>
            <w:pPr>
              <w:widowControl/>
              <w:spacing w:beforeLines="50" w:line="360" w:lineRule="auto"/>
              <w:jc w:val="center"/>
              <w:rPr>
                <w:rFonts w:ascii="宋体" w:hAnsi="宋体" w:cs="Arial"/>
                <w:szCs w:val="21"/>
              </w:rPr>
            </w:pPr>
          </w:p>
          <w:p>
            <w:pPr>
              <w:spacing w:beforeLines="50" w:line="360" w:lineRule="auto"/>
              <w:jc w:val="center"/>
              <w:rPr>
                <w:rFonts w:ascii="宋体" w:hAnsi="宋体" w:cs="Arial"/>
                <w:szCs w:val="21"/>
              </w:rPr>
            </w:pPr>
          </w:p>
        </w:tc>
        <w:tc>
          <w:tcPr>
            <w:tcW w:w="453" w:type="pct"/>
            <w:vMerge w:val="restart"/>
            <w:vAlign w:val="center"/>
          </w:tcPr>
          <w:p>
            <w:pPr>
              <w:widowControl/>
              <w:spacing w:beforeLines="50" w:line="360" w:lineRule="auto"/>
              <w:jc w:val="center"/>
              <w:rPr>
                <w:rFonts w:ascii="宋体" w:hAnsi="宋体" w:cs="Arial"/>
                <w:szCs w:val="21"/>
              </w:rPr>
            </w:pPr>
            <w:r>
              <w:rPr>
                <w:rFonts w:ascii="宋体" w:hAnsi="宋体" w:cs="Arial"/>
                <w:szCs w:val="21"/>
              </w:rPr>
              <w:t>56</w:t>
            </w:r>
          </w:p>
        </w:tc>
        <w:tc>
          <w:tcPr>
            <w:tcW w:w="722" w:type="pct"/>
            <w:vAlign w:val="center"/>
          </w:tcPr>
          <w:p>
            <w:pPr>
              <w:widowControl/>
              <w:spacing w:beforeLines="50" w:line="360" w:lineRule="auto"/>
              <w:jc w:val="center"/>
              <w:rPr>
                <w:rFonts w:ascii="宋体" w:hAnsi="宋体" w:cs="Arial"/>
                <w:szCs w:val="21"/>
              </w:rPr>
            </w:pPr>
            <w:r>
              <w:rPr>
                <w:rFonts w:hint="eastAsia" w:ascii="宋体" w:hAnsi="宋体" w:cs="Arial"/>
                <w:szCs w:val="21"/>
              </w:rPr>
              <w:t>技术条款应答</w:t>
            </w:r>
            <w:r>
              <w:rPr>
                <w:rFonts w:ascii="宋体" w:hAnsi="宋体" w:cs="Arial"/>
                <w:szCs w:val="21"/>
              </w:rPr>
              <w:t>（36分）</w:t>
            </w:r>
          </w:p>
        </w:tc>
        <w:tc>
          <w:tcPr>
            <w:tcW w:w="3417" w:type="pct"/>
            <w:vAlign w:val="center"/>
          </w:tcPr>
          <w:p>
            <w:pPr>
              <w:widowControl/>
              <w:snapToGrid w:val="0"/>
              <w:spacing w:line="360" w:lineRule="auto"/>
              <w:rPr>
                <w:rFonts w:ascii="宋体" w:hAnsi="宋体" w:cs="宋体"/>
                <w:szCs w:val="21"/>
                <w:lang w:val="zh-CN"/>
              </w:rPr>
            </w:pPr>
            <w:r>
              <w:rPr>
                <w:rFonts w:ascii="宋体" w:hAnsi="宋体" w:cs="Arial"/>
                <w:szCs w:val="21"/>
              </w:rPr>
              <w:t>技术规格</w:t>
            </w:r>
            <w:r>
              <w:rPr>
                <w:rFonts w:hint="eastAsia" w:ascii="宋体" w:hAnsi="宋体" w:cs="Arial"/>
                <w:szCs w:val="21"/>
              </w:rPr>
              <w:t>要求中标★技术指标为必须满足项，</w:t>
            </w:r>
            <w:r>
              <w:rPr>
                <w:rFonts w:hint="eastAsia" w:ascii="宋体" w:hAnsi="宋体" w:cs="宋体"/>
                <w:szCs w:val="21"/>
                <w:lang w:val="zh-CN"/>
              </w:rPr>
              <w:t>若不满足将按照无效投标处理；</w:t>
            </w:r>
            <w:r>
              <w:rPr>
                <w:rFonts w:hint="eastAsia" w:ascii="宋体" w:hAnsi="宋体" w:cs="Arial"/>
                <w:szCs w:val="21"/>
              </w:rPr>
              <w:t>▲技术指标为重要指标项，</w:t>
            </w:r>
            <w:bookmarkStart w:id="105" w:name="_GoBack"/>
            <w:bookmarkEnd w:id="105"/>
            <w:r>
              <w:rPr>
                <w:rFonts w:ascii="宋体" w:hAnsi="宋体" w:cs="Arial"/>
                <w:szCs w:val="21"/>
              </w:rPr>
              <w:t>其中有1项条款</w:t>
            </w:r>
            <w:r>
              <w:rPr>
                <w:rFonts w:hint="eastAsia" w:ascii="宋体" w:hAnsi="宋体" w:cs="Arial"/>
                <w:szCs w:val="21"/>
              </w:rPr>
              <w:t>存在负偏离</w:t>
            </w:r>
            <w:r>
              <w:rPr>
                <w:rFonts w:ascii="宋体" w:hAnsi="宋体" w:cs="Arial"/>
                <w:szCs w:val="21"/>
              </w:rPr>
              <w:t>，扣</w:t>
            </w:r>
            <w:r>
              <w:rPr>
                <w:rFonts w:hint="eastAsia" w:ascii="宋体" w:hAnsi="宋体" w:cs="Arial"/>
                <w:szCs w:val="21"/>
              </w:rPr>
              <w:t>3</w:t>
            </w:r>
            <w:r>
              <w:rPr>
                <w:rFonts w:ascii="宋体" w:hAnsi="宋体" w:cs="Arial"/>
                <w:szCs w:val="21"/>
              </w:rPr>
              <w:t>分</w:t>
            </w:r>
            <w:r>
              <w:rPr>
                <w:rFonts w:hint="eastAsia" w:ascii="宋体" w:hAnsi="宋体" w:cs="Arial"/>
                <w:szCs w:val="21"/>
              </w:rPr>
              <w:t>；其他指标项，每有1项负偏离，扣1分，</w:t>
            </w:r>
            <w:r>
              <w:rPr>
                <w:rFonts w:ascii="宋体" w:hAnsi="宋体" w:cs="Arial"/>
                <w:szCs w:val="21"/>
              </w:rPr>
              <w:t>最低得分0分。</w:t>
            </w:r>
          </w:p>
          <w:p>
            <w:pPr>
              <w:widowControl/>
              <w:snapToGrid w:val="0"/>
              <w:spacing w:line="360" w:lineRule="auto"/>
              <w:rPr>
                <w:rFonts w:ascii="宋体" w:hAnsi="宋体" w:cs="Arial"/>
                <w:szCs w:val="21"/>
              </w:rPr>
            </w:pPr>
            <w:r>
              <w:rPr>
                <w:rFonts w:ascii="宋体" w:hAnsi="宋体" w:cs="Arial"/>
                <w:szCs w:val="21"/>
              </w:rPr>
              <w:t>注：最低得分为0分时将按照无效投标处理，予以拒绝。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6" w:hRule="atLeast"/>
        </w:trPr>
        <w:tc>
          <w:tcPr>
            <w:tcW w:w="407" w:type="pct"/>
            <w:vMerge w:val="continue"/>
            <w:vAlign w:val="center"/>
          </w:tcPr>
          <w:p>
            <w:pPr>
              <w:spacing w:beforeLines="50" w:line="360" w:lineRule="auto"/>
              <w:jc w:val="center"/>
              <w:rPr>
                <w:rFonts w:ascii="宋体" w:hAnsi="宋体" w:cs="Arial"/>
                <w:szCs w:val="21"/>
              </w:rPr>
            </w:pPr>
          </w:p>
        </w:tc>
        <w:tc>
          <w:tcPr>
            <w:tcW w:w="453" w:type="pct"/>
            <w:vMerge w:val="continue"/>
            <w:vAlign w:val="center"/>
          </w:tcPr>
          <w:p>
            <w:pPr>
              <w:spacing w:beforeLines="50" w:line="360" w:lineRule="auto"/>
              <w:jc w:val="center"/>
              <w:rPr>
                <w:rFonts w:ascii="宋体" w:hAnsi="宋体" w:cs="Arial"/>
                <w:szCs w:val="21"/>
              </w:rPr>
            </w:pPr>
          </w:p>
        </w:tc>
        <w:tc>
          <w:tcPr>
            <w:tcW w:w="722" w:type="pct"/>
          </w:tcPr>
          <w:p>
            <w:pPr>
              <w:widowControl/>
              <w:spacing w:beforeLines="50" w:line="360" w:lineRule="auto"/>
              <w:jc w:val="center"/>
              <w:rPr>
                <w:rFonts w:ascii="宋体" w:hAnsi="宋体" w:cs="Arial"/>
                <w:szCs w:val="21"/>
              </w:rPr>
            </w:pPr>
            <w:r>
              <w:rPr>
                <w:rFonts w:hint="eastAsia" w:ascii="宋体" w:hAnsi="宋体" w:cs="Arial"/>
                <w:szCs w:val="21"/>
              </w:rPr>
              <w:t xml:space="preserve">技术方案响应总体评价 </w:t>
            </w:r>
          </w:p>
          <w:p>
            <w:pPr>
              <w:widowControl/>
              <w:spacing w:beforeLines="50" w:line="360" w:lineRule="auto"/>
              <w:jc w:val="center"/>
              <w:rPr>
                <w:rFonts w:ascii="宋体" w:hAnsi="宋体" w:cs="Arial"/>
                <w:bCs/>
                <w:szCs w:val="21"/>
              </w:rPr>
            </w:pPr>
            <w:r>
              <w:rPr>
                <w:rFonts w:hint="eastAsia" w:ascii="宋体" w:hAnsi="宋体" w:cs="Arial"/>
                <w:szCs w:val="21"/>
              </w:rPr>
              <w:t>(</w:t>
            </w:r>
            <w:r>
              <w:rPr>
                <w:rFonts w:ascii="宋体" w:hAnsi="宋体" w:cs="Arial"/>
                <w:szCs w:val="21"/>
              </w:rPr>
              <w:t>8</w:t>
            </w:r>
            <w:r>
              <w:rPr>
                <w:rFonts w:hint="eastAsia" w:ascii="宋体" w:hAnsi="宋体" w:cs="Arial"/>
                <w:szCs w:val="21"/>
              </w:rPr>
              <w:t>分)</w:t>
            </w:r>
          </w:p>
        </w:tc>
        <w:tc>
          <w:tcPr>
            <w:tcW w:w="3417" w:type="pct"/>
          </w:tcPr>
          <w:p>
            <w:pPr>
              <w:widowControl/>
              <w:snapToGrid w:val="0"/>
              <w:spacing w:line="360" w:lineRule="auto"/>
              <w:rPr>
                <w:rFonts w:ascii="宋体" w:hAnsi="宋体" w:cs="Arial"/>
                <w:szCs w:val="21"/>
              </w:rPr>
            </w:pPr>
            <w:r>
              <w:rPr>
                <w:rFonts w:hint="eastAsia" w:ascii="宋体" w:hAnsi="宋体" w:cs="Arial"/>
                <w:szCs w:val="21"/>
              </w:rPr>
              <w:t>响应人针对本项目提供先进、合理、完整的系统建设方案。设计方案符合国家相关标准和规范，软件架构设计合理，设计思路清晰，对需求分析详细、理解准确，总体符合工程建设要求，具体满足本项目采购需求。</w:t>
            </w:r>
          </w:p>
          <w:p>
            <w:pPr>
              <w:widowControl/>
              <w:snapToGrid w:val="0"/>
              <w:spacing w:line="360" w:lineRule="auto"/>
              <w:rPr>
                <w:rFonts w:ascii="宋体" w:hAnsi="宋体" w:cs="Arial"/>
                <w:bCs/>
                <w:szCs w:val="21"/>
              </w:rPr>
            </w:pPr>
            <w:r>
              <w:rPr>
                <w:rFonts w:hint="eastAsia" w:ascii="宋体" w:hAnsi="宋体" w:cs="Arial"/>
                <w:szCs w:val="21"/>
              </w:rPr>
              <w:t>（优：</w:t>
            </w:r>
            <w:r>
              <w:rPr>
                <w:rFonts w:ascii="宋体" w:hAnsi="宋体" w:cs="Arial"/>
                <w:szCs w:val="21"/>
              </w:rPr>
              <w:t>8</w:t>
            </w:r>
            <w:r>
              <w:rPr>
                <w:rFonts w:hint="eastAsia" w:ascii="宋体" w:hAnsi="宋体" w:cs="Arial"/>
                <w:szCs w:val="21"/>
              </w:rPr>
              <w:t>分，良：5分，一般：2分；差：1分）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2" w:hRule="atLeast"/>
        </w:trPr>
        <w:tc>
          <w:tcPr>
            <w:tcW w:w="407" w:type="pct"/>
            <w:vMerge w:val="continue"/>
            <w:vAlign w:val="center"/>
          </w:tcPr>
          <w:p>
            <w:pPr>
              <w:spacing w:beforeLines="50" w:line="360" w:lineRule="auto"/>
              <w:jc w:val="center"/>
              <w:rPr>
                <w:rFonts w:ascii="宋体" w:hAnsi="宋体" w:cs="Arial"/>
                <w:szCs w:val="21"/>
              </w:rPr>
            </w:pPr>
          </w:p>
        </w:tc>
        <w:tc>
          <w:tcPr>
            <w:tcW w:w="453" w:type="pct"/>
            <w:vMerge w:val="continue"/>
            <w:vAlign w:val="center"/>
          </w:tcPr>
          <w:p>
            <w:pPr>
              <w:spacing w:beforeLines="50" w:line="360" w:lineRule="auto"/>
              <w:jc w:val="center"/>
              <w:rPr>
                <w:rFonts w:ascii="宋体" w:hAnsi="宋体" w:cs="Arial"/>
                <w:szCs w:val="21"/>
              </w:rPr>
            </w:pPr>
          </w:p>
        </w:tc>
        <w:tc>
          <w:tcPr>
            <w:tcW w:w="722" w:type="pct"/>
          </w:tcPr>
          <w:p>
            <w:pPr>
              <w:widowControl/>
              <w:spacing w:beforeLines="50" w:line="360" w:lineRule="auto"/>
              <w:jc w:val="center"/>
              <w:rPr>
                <w:rFonts w:ascii="宋体" w:hAnsi="宋体"/>
              </w:rPr>
            </w:pPr>
            <w:r>
              <w:rPr>
                <w:rFonts w:hint="eastAsia" w:ascii="宋体" w:hAnsi="宋体"/>
              </w:rPr>
              <w:t>项目实施人员进度规划</w:t>
            </w:r>
          </w:p>
          <w:p>
            <w:pPr>
              <w:widowControl/>
              <w:spacing w:beforeLines="50" w:line="360" w:lineRule="auto"/>
              <w:jc w:val="center"/>
              <w:rPr>
                <w:rFonts w:ascii="宋体" w:hAnsi="宋体" w:cs="Arial"/>
                <w:bCs/>
                <w:szCs w:val="21"/>
              </w:rPr>
            </w:pPr>
            <w:r>
              <w:rPr>
                <w:rFonts w:hint="eastAsia" w:ascii="宋体" w:hAnsi="宋体"/>
              </w:rPr>
              <w:t>（6分）</w:t>
            </w:r>
          </w:p>
        </w:tc>
        <w:tc>
          <w:tcPr>
            <w:tcW w:w="3417" w:type="pct"/>
          </w:tcPr>
          <w:p>
            <w:pPr>
              <w:widowControl/>
              <w:snapToGrid w:val="0"/>
              <w:spacing w:line="360" w:lineRule="auto"/>
              <w:rPr>
                <w:rFonts w:ascii="宋体" w:hAnsi="宋体" w:cs="Arial"/>
                <w:szCs w:val="21"/>
              </w:rPr>
            </w:pPr>
            <w:r>
              <w:rPr>
                <w:rFonts w:hint="eastAsia" w:ascii="宋体" w:hAnsi="宋体" w:cs="Arial"/>
                <w:szCs w:val="21"/>
              </w:rPr>
              <w:t>响应人针对本项目实施人员配置、以及实施进度能否满足采购文件要求，及对分阶段实施规划是否合理进行评价。</w:t>
            </w:r>
          </w:p>
          <w:p>
            <w:pPr>
              <w:widowControl/>
              <w:snapToGrid w:val="0"/>
              <w:spacing w:line="360" w:lineRule="auto"/>
              <w:rPr>
                <w:rFonts w:ascii="宋体" w:hAnsi="宋体" w:cs="Arial"/>
                <w:szCs w:val="21"/>
              </w:rPr>
            </w:pPr>
            <w:r>
              <w:rPr>
                <w:rFonts w:hint="eastAsia" w:ascii="宋体" w:hAnsi="宋体" w:cs="Arial"/>
                <w:szCs w:val="21"/>
              </w:rPr>
              <w:t>（优：6分，良：4分，一般：2分；差：1分）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6" w:hRule="atLeast"/>
        </w:trPr>
        <w:tc>
          <w:tcPr>
            <w:tcW w:w="407" w:type="pct"/>
            <w:vMerge w:val="continue"/>
            <w:vAlign w:val="center"/>
          </w:tcPr>
          <w:p>
            <w:pPr>
              <w:widowControl/>
              <w:spacing w:beforeLines="50" w:line="360" w:lineRule="auto"/>
              <w:jc w:val="center"/>
              <w:rPr>
                <w:rFonts w:ascii="宋体" w:hAnsi="宋体" w:cs="Arial"/>
                <w:szCs w:val="21"/>
              </w:rPr>
            </w:pPr>
          </w:p>
        </w:tc>
        <w:tc>
          <w:tcPr>
            <w:tcW w:w="453" w:type="pct"/>
            <w:vMerge w:val="continue"/>
            <w:vAlign w:val="center"/>
          </w:tcPr>
          <w:p>
            <w:pPr>
              <w:spacing w:beforeLines="50" w:line="360" w:lineRule="auto"/>
              <w:jc w:val="center"/>
              <w:rPr>
                <w:rFonts w:ascii="宋体" w:hAnsi="宋体" w:cs="Arial"/>
                <w:szCs w:val="21"/>
              </w:rPr>
            </w:pPr>
          </w:p>
        </w:tc>
        <w:tc>
          <w:tcPr>
            <w:tcW w:w="722" w:type="pct"/>
            <w:vAlign w:val="center"/>
          </w:tcPr>
          <w:p>
            <w:pPr>
              <w:widowControl/>
              <w:spacing w:beforeLines="50" w:line="360" w:lineRule="auto"/>
              <w:jc w:val="center"/>
              <w:rPr>
                <w:rFonts w:ascii="宋体" w:hAnsi="宋体" w:cs="Arial"/>
                <w:bCs/>
                <w:szCs w:val="21"/>
              </w:rPr>
            </w:pPr>
            <w:r>
              <w:rPr>
                <w:rFonts w:ascii="宋体" w:hAnsi="宋体" w:cs="Arial"/>
                <w:bCs/>
                <w:szCs w:val="21"/>
              </w:rPr>
              <w:t>售后服务</w:t>
            </w:r>
            <w:r>
              <w:rPr>
                <w:rFonts w:hint="eastAsia" w:ascii="宋体" w:hAnsi="宋体" w:cs="Arial"/>
                <w:bCs/>
                <w:szCs w:val="21"/>
              </w:rPr>
              <w:t>方案</w:t>
            </w:r>
          </w:p>
          <w:p>
            <w:pPr>
              <w:widowControl/>
              <w:spacing w:beforeLines="50" w:line="360" w:lineRule="auto"/>
              <w:jc w:val="center"/>
              <w:rPr>
                <w:rFonts w:ascii="宋体" w:hAnsi="宋体" w:cs="Arial"/>
                <w:bCs/>
                <w:szCs w:val="21"/>
              </w:rPr>
            </w:pPr>
            <w:r>
              <w:rPr>
                <w:rFonts w:ascii="宋体" w:hAnsi="宋体" w:cs="Arial"/>
                <w:szCs w:val="21"/>
              </w:rPr>
              <w:t>（6分）</w:t>
            </w:r>
          </w:p>
        </w:tc>
        <w:tc>
          <w:tcPr>
            <w:tcW w:w="3417" w:type="pct"/>
            <w:vAlign w:val="center"/>
          </w:tcPr>
          <w:p>
            <w:pPr>
              <w:widowControl/>
              <w:snapToGrid w:val="0"/>
              <w:spacing w:line="360" w:lineRule="auto"/>
              <w:rPr>
                <w:rFonts w:ascii="宋体" w:hAnsi="宋体" w:cs="Arial"/>
                <w:szCs w:val="21"/>
              </w:rPr>
            </w:pPr>
            <w:r>
              <w:rPr>
                <w:rFonts w:hint="eastAsia" w:ascii="宋体" w:hAnsi="宋体" w:cs="Arial"/>
                <w:szCs w:val="21"/>
              </w:rPr>
              <w:t>响应人针对本项目提供详细、完善的售后服务方案，考核响应人的项目售后服务的可行性、完整性、合理性。</w:t>
            </w:r>
          </w:p>
          <w:p>
            <w:pPr>
              <w:widowControl/>
              <w:snapToGrid w:val="0"/>
              <w:spacing w:line="360" w:lineRule="auto"/>
              <w:rPr>
                <w:rFonts w:ascii="宋体" w:hAnsi="宋体" w:cs="Arial"/>
                <w:szCs w:val="21"/>
              </w:rPr>
            </w:pPr>
            <w:r>
              <w:rPr>
                <w:rFonts w:hint="eastAsia" w:ascii="宋体" w:hAnsi="宋体"/>
              </w:rPr>
              <w:t>（优：6分，良：4分，一般：2分；差：1分）</w:t>
            </w:r>
          </w:p>
        </w:tc>
      </w:tr>
      <w:bookmarkEnd w:id="104"/>
    </w:tbl>
    <w:p>
      <w:pPr>
        <w:jc w:val="left"/>
        <w:rPr>
          <w:sz w:val="24"/>
          <w:szCs w:val="24"/>
        </w:rPr>
      </w:pPr>
    </w:p>
    <w:p>
      <w:pPr>
        <w:pStyle w:val="36"/>
        <w:ind w:firstLine="0" w:firstLineChars="0"/>
        <w:rPr>
          <w:rFonts w:hint="default"/>
          <w:sz w:val="24"/>
          <w:szCs w:val="24"/>
        </w:rPr>
      </w:pPr>
      <w:r>
        <w:rPr>
          <w:sz w:val="24"/>
          <w:szCs w:val="24"/>
        </w:rPr>
        <w:t>注：1.非专门面向中小企业采购标的执行价格扣除后参与评审的优惠政策，具体如下：《政府采购促进中小企业发展管理办法》（财库﹝2020﹞46 号）的规定，对满足价格扣除条件且在响应文件中提交了《中小企业声明函》的响应人，其响应报价中由小型和微型企业制造的产品、提供的服务的报价扣除10%后参与评审。监狱企业提供了由省级以上监狱管理局（北京市含教育矫治局）、戒毒管理局（含新疆生产建设兵团）出具的属于监狱企业的证明文件的，视同小型和微型企业。残疾人福利性单位提供了《残疾人福利性单位声明函》，视同小型、微型企业。残疾人福利性单位属于小型、微型企业的，不重复享受政策。</w:t>
      </w:r>
    </w:p>
    <w:p>
      <w:pPr>
        <w:spacing w:beforeLines="50" w:line="240" w:lineRule="auto"/>
        <w:ind w:firstLine="240" w:firstLineChars="100"/>
        <w:rPr>
          <w:sz w:val="24"/>
          <w:szCs w:val="24"/>
        </w:rPr>
      </w:pPr>
      <w:r>
        <w:rPr>
          <w:rFonts w:hint="eastAsia"/>
          <w:sz w:val="24"/>
          <w:szCs w:val="24"/>
        </w:rPr>
        <w:t xml:space="preserve">  2.</w:t>
      </w:r>
      <w:r>
        <w:rPr>
          <w:rFonts w:ascii="Arial" w:hAnsi="Arial" w:cs="Arial"/>
          <w:color w:val="000000"/>
          <w:sz w:val="24"/>
        </w:rPr>
        <w:t>如采购人所采购产品为政府强制采购的节能产品，供应商所投产品的品牌及型号必须为清单中有效期内产品并提供证明文件，否则其投标将作为无效投标被拒绝。</w:t>
      </w:r>
    </w:p>
    <w:p/>
    <w:p/>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30</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52</w:t>
    </w:r>
    <w:r>
      <w:rPr>
        <w:lang w:val="zh-CN"/>
      </w:rPr>
      <w:fldChar w:fldCharType="end"/>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1680" w:firstLine="0"/>
      </w:pPr>
      <w:rPr>
        <w:rFonts w:hint="eastAsia"/>
      </w:rPr>
    </w:lvl>
  </w:abstractNum>
  <w:abstractNum w:abstractNumId="1">
    <w:nsid w:val="CD165430"/>
    <w:multiLevelType w:val="singleLevel"/>
    <w:tmpl w:val="CD165430"/>
    <w:lvl w:ilvl="0" w:tentative="0">
      <w:start w:val="1"/>
      <w:numFmt w:val="decimal"/>
      <w:suff w:val="nothing"/>
      <w:lvlText w:val="（%1）"/>
      <w:lvlJc w:val="left"/>
      <w:pPr>
        <w:ind w:left="1381" w:firstLine="0"/>
      </w:pPr>
    </w:lvl>
  </w:abstractNum>
  <w:abstractNum w:abstractNumId="2">
    <w:nsid w:val="097C3ABE"/>
    <w:multiLevelType w:val="singleLevel"/>
    <w:tmpl w:val="097C3ABE"/>
    <w:lvl w:ilvl="0" w:tentative="0">
      <w:start w:val="1"/>
      <w:numFmt w:val="decimal"/>
      <w:suff w:val="nothing"/>
      <w:lvlText w:val="（%1）"/>
      <w:lvlJc w:val="left"/>
      <w:pPr>
        <w:ind w:left="1260" w:firstLine="0"/>
      </w:pPr>
      <w:rPr>
        <w:rFonts w:hint="default"/>
        <w:b/>
        <w:bCs/>
        <w:sz w:val="24"/>
        <w:szCs w:val="24"/>
      </w:rPr>
    </w:lvl>
  </w:abstractNum>
  <w:abstractNum w:abstractNumId="3">
    <w:nsid w:val="0EDF2924"/>
    <w:multiLevelType w:val="multilevel"/>
    <w:tmpl w:val="0EDF292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5A615E9"/>
    <w:multiLevelType w:val="multilevel"/>
    <w:tmpl w:val="25A615E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AFA2696"/>
    <w:multiLevelType w:val="singleLevel"/>
    <w:tmpl w:val="2AFA2696"/>
    <w:lvl w:ilvl="0" w:tentative="0">
      <w:start w:val="1"/>
      <w:numFmt w:val="chineseCounting"/>
      <w:suff w:val="space"/>
      <w:lvlText w:val="第%1部分"/>
      <w:lvlJc w:val="left"/>
      <w:rPr>
        <w:rFonts w:hint="eastAsia"/>
      </w:rPr>
    </w:lvl>
  </w:abstractNum>
  <w:abstractNum w:abstractNumId="6">
    <w:nsid w:val="59F6D0D3"/>
    <w:multiLevelType w:val="singleLevel"/>
    <w:tmpl w:val="59F6D0D3"/>
    <w:lvl w:ilvl="0" w:tentative="0">
      <w:start w:val="1"/>
      <w:numFmt w:val="chineseCounting"/>
      <w:suff w:val="nothing"/>
      <w:lvlText w:val="%1、"/>
      <w:lvlJc w:val="left"/>
    </w:lvl>
  </w:abstractNum>
  <w:abstractNum w:abstractNumId="7">
    <w:nsid w:val="5F7DBD65"/>
    <w:multiLevelType w:val="singleLevel"/>
    <w:tmpl w:val="5F7DBD65"/>
    <w:lvl w:ilvl="0" w:tentative="0">
      <w:start w:val="1"/>
      <w:numFmt w:val="decimal"/>
      <w:lvlText w:val="%1."/>
      <w:lvlJc w:val="left"/>
      <w:pPr>
        <w:tabs>
          <w:tab w:val="left" w:pos="312"/>
        </w:tabs>
      </w:pPr>
    </w:lvl>
  </w:abstractNum>
  <w:abstractNum w:abstractNumId="8">
    <w:nsid w:val="6E5E583B"/>
    <w:multiLevelType w:val="singleLevel"/>
    <w:tmpl w:val="6E5E583B"/>
    <w:lvl w:ilvl="0" w:tentative="0">
      <w:start w:val="5"/>
      <w:numFmt w:val="decimal"/>
      <w:lvlText w:val="%1."/>
      <w:lvlJc w:val="left"/>
      <w:pPr>
        <w:tabs>
          <w:tab w:val="left" w:pos="312"/>
        </w:tabs>
      </w:pPr>
    </w:lvl>
  </w:abstractNum>
  <w:num w:numId="1">
    <w:abstractNumId w:val="5"/>
  </w:num>
  <w:num w:numId="2">
    <w:abstractNumId w:val="7"/>
  </w:num>
  <w:num w:numId="3">
    <w:abstractNumId w:val="8"/>
  </w:num>
  <w:num w:numId="4">
    <w:abstractNumId w:val="0"/>
  </w:num>
  <w:num w:numId="5">
    <w:abstractNumId w:val="2"/>
  </w:num>
  <w:num w:numId="6">
    <w:abstractNumId w:val="1"/>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4"/>
  <w:drawingGridHorizontalSpacing w:val="105"/>
  <w:drawingGridVerticalSpacing w:val="285"/>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2"/>
  </w:compat>
  <w:docVars>
    <w:docVar w:name="commondata" w:val="eyJoZGlkIjoiNDkwNzk3Mjg3NjBlYTU0MzE3NjQ2ZDU0OWQ2YjJhZmYifQ=="/>
  </w:docVars>
  <w:rsids>
    <w:rsidRoot w:val="00172A27"/>
    <w:rsid w:val="00004D8E"/>
    <w:rsid w:val="00016D42"/>
    <w:rsid w:val="0003522F"/>
    <w:rsid w:val="000373BB"/>
    <w:rsid w:val="0003752E"/>
    <w:rsid w:val="000517D2"/>
    <w:rsid w:val="00057B40"/>
    <w:rsid w:val="000717E8"/>
    <w:rsid w:val="0008607F"/>
    <w:rsid w:val="000955D0"/>
    <w:rsid w:val="000A5318"/>
    <w:rsid w:val="000A5B54"/>
    <w:rsid w:val="000C6998"/>
    <w:rsid w:val="000D5676"/>
    <w:rsid w:val="000F32C4"/>
    <w:rsid w:val="000F4CE6"/>
    <w:rsid w:val="000F63F0"/>
    <w:rsid w:val="0010027C"/>
    <w:rsid w:val="00100A53"/>
    <w:rsid w:val="00117399"/>
    <w:rsid w:val="00121368"/>
    <w:rsid w:val="001263FE"/>
    <w:rsid w:val="001312FB"/>
    <w:rsid w:val="00131BEF"/>
    <w:rsid w:val="001349A8"/>
    <w:rsid w:val="00142581"/>
    <w:rsid w:val="00152509"/>
    <w:rsid w:val="00154CC6"/>
    <w:rsid w:val="0015757E"/>
    <w:rsid w:val="00157A3C"/>
    <w:rsid w:val="00160637"/>
    <w:rsid w:val="001625A1"/>
    <w:rsid w:val="00172A27"/>
    <w:rsid w:val="001778CA"/>
    <w:rsid w:val="001A1FF2"/>
    <w:rsid w:val="001B0160"/>
    <w:rsid w:val="001D10E9"/>
    <w:rsid w:val="001D131B"/>
    <w:rsid w:val="001E73D8"/>
    <w:rsid w:val="00204ED9"/>
    <w:rsid w:val="00205879"/>
    <w:rsid w:val="00216C26"/>
    <w:rsid w:val="002260AE"/>
    <w:rsid w:val="0022747D"/>
    <w:rsid w:val="002308E9"/>
    <w:rsid w:val="002314B9"/>
    <w:rsid w:val="00242C9D"/>
    <w:rsid w:val="002536BB"/>
    <w:rsid w:val="0025628F"/>
    <w:rsid w:val="00257CCE"/>
    <w:rsid w:val="00261ECC"/>
    <w:rsid w:val="00263232"/>
    <w:rsid w:val="0027737C"/>
    <w:rsid w:val="00280759"/>
    <w:rsid w:val="00287850"/>
    <w:rsid w:val="00294F38"/>
    <w:rsid w:val="002A350B"/>
    <w:rsid w:val="002A736F"/>
    <w:rsid w:val="002A7B56"/>
    <w:rsid w:val="002B1E90"/>
    <w:rsid w:val="002D0CDC"/>
    <w:rsid w:val="002D2410"/>
    <w:rsid w:val="002D7EB6"/>
    <w:rsid w:val="002E191C"/>
    <w:rsid w:val="002E2710"/>
    <w:rsid w:val="002F1C84"/>
    <w:rsid w:val="00312FF7"/>
    <w:rsid w:val="00323AD6"/>
    <w:rsid w:val="0033024C"/>
    <w:rsid w:val="00332E7D"/>
    <w:rsid w:val="003359BF"/>
    <w:rsid w:val="00335B9B"/>
    <w:rsid w:val="00356FA9"/>
    <w:rsid w:val="00362FEA"/>
    <w:rsid w:val="00364945"/>
    <w:rsid w:val="00367A27"/>
    <w:rsid w:val="00373610"/>
    <w:rsid w:val="003A5D22"/>
    <w:rsid w:val="003B1E77"/>
    <w:rsid w:val="003C1293"/>
    <w:rsid w:val="003C32A2"/>
    <w:rsid w:val="003E2B57"/>
    <w:rsid w:val="003E77A0"/>
    <w:rsid w:val="00401186"/>
    <w:rsid w:val="004014B5"/>
    <w:rsid w:val="00404A45"/>
    <w:rsid w:val="004220D9"/>
    <w:rsid w:val="00423D73"/>
    <w:rsid w:val="00432DC9"/>
    <w:rsid w:val="004443EC"/>
    <w:rsid w:val="00444DFA"/>
    <w:rsid w:val="00456035"/>
    <w:rsid w:val="00456DE7"/>
    <w:rsid w:val="00475BB9"/>
    <w:rsid w:val="00480F00"/>
    <w:rsid w:val="00491DB7"/>
    <w:rsid w:val="00492598"/>
    <w:rsid w:val="0049505F"/>
    <w:rsid w:val="004A205F"/>
    <w:rsid w:val="004B7DC7"/>
    <w:rsid w:val="004C02C5"/>
    <w:rsid w:val="004C765F"/>
    <w:rsid w:val="004D487C"/>
    <w:rsid w:val="004E4649"/>
    <w:rsid w:val="00511738"/>
    <w:rsid w:val="005127A0"/>
    <w:rsid w:val="00512C39"/>
    <w:rsid w:val="00516FC0"/>
    <w:rsid w:val="005217DB"/>
    <w:rsid w:val="005346CB"/>
    <w:rsid w:val="00544287"/>
    <w:rsid w:val="00553C93"/>
    <w:rsid w:val="00557DC3"/>
    <w:rsid w:val="00566568"/>
    <w:rsid w:val="00570E9D"/>
    <w:rsid w:val="00573961"/>
    <w:rsid w:val="005B3979"/>
    <w:rsid w:val="005C2A6F"/>
    <w:rsid w:val="005C5435"/>
    <w:rsid w:val="005C5CD0"/>
    <w:rsid w:val="005D15F9"/>
    <w:rsid w:val="005E01C2"/>
    <w:rsid w:val="005E242C"/>
    <w:rsid w:val="00603FE0"/>
    <w:rsid w:val="006356ED"/>
    <w:rsid w:val="00641F64"/>
    <w:rsid w:val="006836FC"/>
    <w:rsid w:val="006A0A79"/>
    <w:rsid w:val="006A1503"/>
    <w:rsid w:val="006A3ACD"/>
    <w:rsid w:val="006B1D7E"/>
    <w:rsid w:val="006C04C3"/>
    <w:rsid w:val="006C38BF"/>
    <w:rsid w:val="006C687F"/>
    <w:rsid w:val="006D5430"/>
    <w:rsid w:val="006E320A"/>
    <w:rsid w:val="006E489C"/>
    <w:rsid w:val="0073062A"/>
    <w:rsid w:val="00776734"/>
    <w:rsid w:val="007920F4"/>
    <w:rsid w:val="00795872"/>
    <w:rsid w:val="007A605B"/>
    <w:rsid w:val="007B6D8A"/>
    <w:rsid w:val="007B6EA8"/>
    <w:rsid w:val="007C5564"/>
    <w:rsid w:val="007F5B66"/>
    <w:rsid w:val="00810AED"/>
    <w:rsid w:val="00850915"/>
    <w:rsid w:val="00851B4F"/>
    <w:rsid w:val="00854A7B"/>
    <w:rsid w:val="00863696"/>
    <w:rsid w:val="00876AE6"/>
    <w:rsid w:val="008778BD"/>
    <w:rsid w:val="00880E6D"/>
    <w:rsid w:val="00887BFB"/>
    <w:rsid w:val="008C05E7"/>
    <w:rsid w:val="008C0789"/>
    <w:rsid w:val="008C5FE8"/>
    <w:rsid w:val="008D0631"/>
    <w:rsid w:val="008E0BB4"/>
    <w:rsid w:val="008E5DD3"/>
    <w:rsid w:val="008F3536"/>
    <w:rsid w:val="008F7C9D"/>
    <w:rsid w:val="00924A96"/>
    <w:rsid w:val="00937B3D"/>
    <w:rsid w:val="00942DD3"/>
    <w:rsid w:val="00943ED2"/>
    <w:rsid w:val="00971248"/>
    <w:rsid w:val="00973A2E"/>
    <w:rsid w:val="00981AF9"/>
    <w:rsid w:val="0099021D"/>
    <w:rsid w:val="009A1CDA"/>
    <w:rsid w:val="009A75FB"/>
    <w:rsid w:val="009B1DC7"/>
    <w:rsid w:val="009C07DE"/>
    <w:rsid w:val="009C51E5"/>
    <w:rsid w:val="009D6109"/>
    <w:rsid w:val="009E2E72"/>
    <w:rsid w:val="00A0122C"/>
    <w:rsid w:val="00A06A44"/>
    <w:rsid w:val="00A10C14"/>
    <w:rsid w:val="00A16D21"/>
    <w:rsid w:val="00A36A11"/>
    <w:rsid w:val="00A5793C"/>
    <w:rsid w:val="00A63F0C"/>
    <w:rsid w:val="00A64287"/>
    <w:rsid w:val="00A70017"/>
    <w:rsid w:val="00A81F34"/>
    <w:rsid w:val="00A86B3F"/>
    <w:rsid w:val="00AA4AEF"/>
    <w:rsid w:val="00AA66CC"/>
    <w:rsid w:val="00AB0EDD"/>
    <w:rsid w:val="00AC31BA"/>
    <w:rsid w:val="00AD6A5E"/>
    <w:rsid w:val="00B00FAF"/>
    <w:rsid w:val="00B01A86"/>
    <w:rsid w:val="00B125E4"/>
    <w:rsid w:val="00B37A0D"/>
    <w:rsid w:val="00B45E34"/>
    <w:rsid w:val="00B5243D"/>
    <w:rsid w:val="00B704D1"/>
    <w:rsid w:val="00BA07F0"/>
    <w:rsid w:val="00BB4ED0"/>
    <w:rsid w:val="00BB6B4E"/>
    <w:rsid w:val="00BC1ADA"/>
    <w:rsid w:val="00BC3812"/>
    <w:rsid w:val="00BC7EB1"/>
    <w:rsid w:val="00BE26B5"/>
    <w:rsid w:val="00BE334F"/>
    <w:rsid w:val="00BF6883"/>
    <w:rsid w:val="00C03433"/>
    <w:rsid w:val="00C3019D"/>
    <w:rsid w:val="00C45541"/>
    <w:rsid w:val="00C82C48"/>
    <w:rsid w:val="00C947C6"/>
    <w:rsid w:val="00CA04DF"/>
    <w:rsid w:val="00CA5711"/>
    <w:rsid w:val="00CB307B"/>
    <w:rsid w:val="00CC0C3A"/>
    <w:rsid w:val="00D3671D"/>
    <w:rsid w:val="00D62433"/>
    <w:rsid w:val="00D6344C"/>
    <w:rsid w:val="00D661F2"/>
    <w:rsid w:val="00D7387D"/>
    <w:rsid w:val="00D753B7"/>
    <w:rsid w:val="00D869CD"/>
    <w:rsid w:val="00DA3005"/>
    <w:rsid w:val="00DB073E"/>
    <w:rsid w:val="00DC6F05"/>
    <w:rsid w:val="00DD4F92"/>
    <w:rsid w:val="00DF2E53"/>
    <w:rsid w:val="00E24063"/>
    <w:rsid w:val="00E26253"/>
    <w:rsid w:val="00E27388"/>
    <w:rsid w:val="00E31D7C"/>
    <w:rsid w:val="00E3360C"/>
    <w:rsid w:val="00E415F0"/>
    <w:rsid w:val="00E41FE1"/>
    <w:rsid w:val="00E478A2"/>
    <w:rsid w:val="00E62D0B"/>
    <w:rsid w:val="00E76521"/>
    <w:rsid w:val="00E82886"/>
    <w:rsid w:val="00E97B3C"/>
    <w:rsid w:val="00EA09D5"/>
    <w:rsid w:val="00EB3D8F"/>
    <w:rsid w:val="00EB42D3"/>
    <w:rsid w:val="00EC24E8"/>
    <w:rsid w:val="00EC352F"/>
    <w:rsid w:val="00EC7660"/>
    <w:rsid w:val="00ED0601"/>
    <w:rsid w:val="00EE681E"/>
    <w:rsid w:val="00EE776C"/>
    <w:rsid w:val="00EF0A81"/>
    <w:rsid w:val="00F04576"/>
    <w:rsid w:val="00F12347"/>
    <w:rsid w:val="00F236CB"/>
    <w:rsid w:val="00F371B8"/>
    <w:rsid w:val="00F37AC9"/>
    <w:rsid w:val="00F40C32"/>
    <w:rsid w:val="00F40E75"/>
    <w:rsid w:val="00F45B83"/>
    <w:rsid w:val="00F47E95"/>
    <w:rsid w:val="00F603C4"/>
    <w:rsid w:val="00F70275"/>
    <w:rsid w:val="00F7596F"/>
    <w:rsid w:val="00F80127"/>
    <w:rsid w:val="00F83B64"/>
    <w:rsid w:val="00F86F7A"/>
    <w:rsid w:val="00F9718E"/>
    <w:rsid w:val="00FA1F16"/>
    <w:rsid w:val="00FB22AB"/>
    <w:rsid w:val="00FE5493"/>
    <w:rsid w:val="08781FA9"/>
    <w:rsid w:val="08C157E8"/>
    <w:rsid w:val="0A2D5046"/>
    <w:rsid w:val="0AE6768A"/>
    <w:rsid w:val="0BEB340A"/>
    <w:rsid w:val="0CAD0AD3"/>
    <w:rsid w:val="0DC072B1"/>
    <w:rsid w:val="0DEA3506"/>
    <w:rsid w:val="10613FCD"/>
    <w:rsid w:val="117E0760"/>
    <w:rsid w:val="121200E6"/>
    <w:rsid w:val="136530FF"/>
    <w:rsid w:val="136A730B"/>
    <w:rsid w:val="147246C9"/>
    <w:rsid w:val="14C431D2"/>
    <w:rsid w:val="173016C8"/>
    <w:rsid w:val="1998129F"/>
    <w:rsid w:val="1C265991"/>
    <w:rsid w:val="1D6C392C"/>
    <w:rsid w:val="1D990A1B"/>
    <w:rsid w:val="1DBE34D3"/>
    <w:rsid w:val="1F090697"/>
    <w:rsid w:val="20196340"/>
    <w:rsid w:val="220D75B2"/>
    <w:rsid w:val="23024E6A"/>
    <w:rsid w:val="24D37BDA"/>
    <w:rsid w:val="273E668C"/>
    <w:rsid w:val="27B536B0"/>
    <w:rsid w:val="2885728B"/>
    <w:rsid w:val="2887341B"/>
    <w:rsid w:val="2A3D6A8D"/>
    <w:rsid w:val="2BF37A45"/>
    <w:rsid w:val="2F9E44AB"/>
    <w:rsid w:val="32CE6B16"/>
    <w:rsid w:val="35E6569D"/>
    <w:rsid w:val="3AF74E51"/>
    <w:rsid w:val="3B1A12EE"/>
    <w:rsid w:val="3D5F430F"/>
    <w:rsid w:val="45AA20AF"/>
    <w:rsid w:val="46AE164B"/>
    <w:rsid w:val="4E263020"/>
    <w:rsid w:val="4F243E16"/>
    <w:rsid w:val="53EB3716"/>
    <w:rsid w:val="54410308"/>
    <w:rsid w:val="54474D62"/>
    <w:rsid w:val="56282E9D"/>
    <w:rsid w:val="58E33856"/>
    <w:rsid w:val="59D94FB8"/>
    <w:rsid w:val="5B931BB5"/>
    <w:rsid w:val="6080347D"/>
    <w:rsid w:val="65015485"/>
    <w:rsid w:val="66FD1BB8"/>
    <w:rsid w:val="6A5C24B1"/>
    <w:rsid w:val="6AC43D66"/>
    <w:rsid w:val="6BB36AC4"/>
    <w:rsid w:val="6E8201DA"/>
    <w:rsid w:val="70967F6C"/>
    <w:rsid w:val="70CD0083"/>
    <w:rsid w:val="746A136B"/>
    <w:rsid w:val="757823AC"/>
    <w:rsid w:val="75E67C61"/>
    <w:rsid w:val="76C23698"/>
    <w:rsid w:val="7C5F20CD"/>
    <w:rsid w:val="7CBC4CE5"/>
    <w:rsid w:val="7D3314AE"/>
    <w:rsid w:val="7E6409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qFormat="1" w:unhideWhenUsed="0" w:uiPriority="99" w:semiHidden="0"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3">
    <w:name w:val="heading 1"/>
    <w:basedOn w:val="1"/>
    <w:next w:val="1"/>
    <w:link w:val="26"/>
    <w:qFormat/>
    <w:uiPriority w:val="0"/>
    <w:pPr>
      <w:keepNext/>
      <w:spacing w:before="120" w:after="120" w:line="360" w:lineRule="auto"/>
      <w:outlineLvl w:val="0"/>
    </w:pPr>
    <w:rPr>
      <w:rFonts w:ascii="宋体"/>
      <w:sz w:val="28"/>
    </w:rPr>
  </w:style>
  <w:style w:type="paragraph" w:styleId="4">
    <w:name w:val="heading 2"/>
    <w:basedOn w:val="1"/>
    <w:next w:val="2"/>
    <w:qFormat/>
    <w:uiPriority w:val="0"/>
    <w:pPr>
      <w:keepNext/>
      <w:spacing w:line="320" w:lineRule="atLeast"/>
      <w:jc w:val="center"/>
      <w:outlineLvl w:val="1"/>
    </w:pPr>
    <w:rPr>
      <w:b/>
    </w:rPr>
  </w:style>
  <w:style w:type="paragraph" w:styleId="5">
    <w:name w:val="heading 3"/>
    <w:basedOn w:val="1"/>
    <w:next w:val="1"/>
    <w:link w:val="27"/>
    <w:qFormat/>
    <w:uiPriority w:val="9"/>
    <w:pPr>
      <w:keepNext/>
      <w:keepLines/>
      <w:spacing w:before="260" w:after="260" w:line="416" w:lineRule="atLeast"/>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ind w:firstLine="420"/>
    </w:pPr>
  </w:style>
  <w:style w:type="paragraph" w:styleId="6">
    <w:name w:val="Document Map"/>
    <w:basedOn w:val="1"/>
    <w:uiPriority w:val="0"/>
    <w:pPr>
      <w:shd w:val="clear" w:color="auto" w:fill="000080"/>
    </w:pPr>
  </w:style>
  <w:style w:type="paragraph" w:styleId="7">
    <w:name w:val="annotation text"/>
    <w:basedOn w:val="1"/>
    <w:link w:val="28"/>
    <w:uiPriority w:val="0"/>
    <w:pPr>
      <w:jc w:val="left"/>
    </w:pPr>
  </w:style>
  <w:style w:type="paragraph" w:styleId="8">
    <w:name w:val="Body Text"/>
    <w:basedOn w:val="1"/>
    <w:uiPriority w:val="0"/>
    <w:pPr>
      <w:spacing w:line="360" w:lineRule="atLeast"/>
      <w:jc w:val="right"/>
    </w:pPr>
  </w:style>
  <w:style w:type="paragraph" w:styleId="9">
    <w:name w:val="Body Text Indent"/>
    <w:basedOn w:val="1"/>
    <w:link w:val="46"/>
    <w:uiPriority w:val="0"/>
    <w:pPr>
      <w:spacing w:line="360" w:lineRule="atLeast"/>
      <w:ind w:left="720" w:hanging="720"/>
    </w:pPr>
    <w:rPr>
      <w:rFonts w:ascii="宋体"/>
      <w:sz w:val="28"/>
    </w:rPr>
  </w:style>
  <w:style w:type="paragraph" w:styleId="10">
    <w:name w:val="Date"/>
    <w:basedOn w:val="1"/>
    <w:next w:val="1"/>
    <w:link w:val="29"/>
    <w:uiPriority w:val="0"/>
    <w:pPr>
      <w:adjustRightInd/>
      <w:spacing w:line="240" w:lineRule="auto"/>
      <w:textAlignment w:val="auto"/>
    </w:pPr>
    <w:rPr>
      <w:kern w:val="2"/>
      <w:sz w:val="24"/>
    </w:rPr>
  </w:style>
  <w:style w:type="paragraph" w:styleId="11">
    <w:name w:val="Body Text Indent 2"/>
    <w:basedOn w:val="1"/>
    <w:link w:val="30"/>
    <w:uiPriority w:val="0"/>
    <w:pPr>
      <w:spacing w:after="120" w:line="480" w:lineRule="auto"/>
      <w:ind w:left="420" w:leftChars="200"/>
    </w:pPr>
  </w:style>
  <w:style w:type="paragraph" w:styleId="12">
    <w:name w:val="Balloon Text"/>
    <w:basedOn w:val="1"/>
    <w:uiPriority w:val="0"/>
    <w:rPr>
      <w:sz w:val="18"/>
      <w:szCs w:val="18"/>
    </w:rPr>
  </w:style>
  <w:style w:type="paragraph" w:styleId="13">
    <w:name w:val="footer"/>
    <w:basedOn w:val="1"/>
    <w:link w:val="31"/>
    <w:uiPriority w:val="99"/>
    <w:pPr>
      <w:tabs>
        <w:tab w:val="center" w:pos="4153"/>
        <w:tab w:val="right" w:pos="8306"/>
      </w:tabs>
      <w:spacing w:line="240" w:lineRule="atLeast"/>
      <w:jc w:val="left"/>
    </w:pPr>
    <w:rPr>
      <w:sz w:val="18"/>
    </w:rPr>
  </w:style>
  <w:style w:type="paragraph" w:styleId="14">
    <w:name w:val="header"/>
    <w:basedOn w:val="1"/>
    <w:uiPriority w:val="0"/>
    <w:pPr>
      <w:pBdr>
        <w:bottom w:val="single" w:color="auto" w:sz="6" w:space="1"/>
      </w:pBdr>
      <w:tabs>
        <w:tab w:val="center" w:pos="4153"/>
        <w:tab w:val="right" w:pos="8306"/>
      </w:tabs>
      <w:spacing w:line="240" w:lineRule="atLeast"/>
      <w:jc w:val="center"/>
    </w:pPr>
    <w:rPr>
      <w:sz w:val="18"/>
    </w:rPr>
  </w:style>
  <w:style w:type="paragraph" w:styleId="15">
    <w:name w:val="Body Text Indent 3"/>
    <w:basedOn w:val="1"/>
    <w:qFormat/>
    <w:uiPriority w:val="99"/>
    <w:pPr>
      <w:autoSpaceDE w:val="0"/>
      <w:autoSpaceDN w:val="0"/>
      <w:spacing w:before="120" w:line="22" w:lineRule="atLeast"/>
      <w:ind w:left="720" w:firstLine="480"/>
      <w:jc w:val="left"/>
    </w:pPr>
    <w:rPr>
      <w:rFonts w:ascii="宋体"/>
      <w:sz w:val="24"/>
    </w:rPr>
  </w:style>
  <w:style w:type="paragraph" w:styleId="16">
    <w:name w:val="Body Text 2"/>
    <w:basedOn w:val="1"/>
    <w:qFormat/>
    <w:uiPriority w:val="0"/>
    <w:pPr>
      <w:spacing w:line="360" w:lineRule="atLeast"/>
      <w:jc w:val="center"/>
    </w:pPr>
  </w:style>
  <w:style w:type="paragraph" w:styleId="17">
    <w:name w:val="Normal (Web)"/>
    <w:basedOn w:val="1"/>
    <w:qFormat/>
    <w:uiPriority w:val="0"/>
    <w:pPr>
      <w:spacing w:beforeAutospacing="1" w:afterAutospacing="1"/>
      <w:jc w:val="left"/>
    </w:pPr>
    <w:rPr>
      <w:sz w:val="24"/>
      <w:szCs w:val="24"/>
    </w:rPr>
  </w:style>
  <w:style w:type="paragraph" w:styleId="18">
    <w:name w:val="annotation subject"/>
    <w:basedOn w:val="7"/>
    <w:next w:val="7"/>
    <w:link w:val="34"/>
    <w:qFormat/>
    <w:uiPriority w:val="0"/>
    <w:rPr>
      <w:b/>
      <w:bCs/>
    </w:rPr>
  </w:style>
  <w:style w:type="table" w:styleId="20">
    <w:name w:val="Table Grid"/>
    <w:basedOn w:val="19"/>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page number"/>
    <w:uiPriority w:val="0"/>
  </w:style>
  <w:style w:type="character" w:styleId="24">
    <w:name w:val="Hyperlink"/>
    <w:uiPriority w:val="0"/>
    <w:rPr>
      <w:color w:val="0000FF"/>
      <w:u w:val="single"/>
    </w:rPr>
  </w:style>
  <w:style w:type="character" w:styleId="25">
    <w:name w:val="annotation reference"/>
    <w:uiPriority w:val="0"/>
    <w:rPr>
      <w:sz w:val="21"/>
      <w:szCs w:val="21"/>
    </w:rPr>
  </w:style>
  <w:style w:type="character" w:customStyle="1" w:styleId="26">
    <w:name w:val="标题 1 Char"/>
    <w:link w:val="3"/>
    <w:qFormat/>
    <w:uiPriority w:val="0"/>
    <w:rPr>
      <w:rFonts w:ascii="宋体"/>
      <w:sz w:val="28"/>
    </w:rPr>
  </w:style>
  <w:style w:type="character" w:customStyle="1" w:styleId="27">
    <w:name w:val="标题 3 Char"/>
    <w:link w:val="5"/>
    <w:semiHidden/>
    <w:uiPriority w:val="9"/>
    <w:rPr>
      <w:b/>
      <w:bCs/>
      <w:sz w:val="32"/>
      <w:szCs w:val="32"/>
    </w:rPr>
  </w:style>
  <w:style w:type="character" w:customStyle="1" w:styleId="28">
    <w:name w:val="批注文字 Char"/>
    <w:link w:val="7"/>
    <w:uiPriority w:val="0"/>
    <w:rPr>
      <w:sz w:val="21"/>
    </w:rPr>
  </w:style>
  <w:style w:type="character" w:customStyle="1" w:styleId="29">
    <w:name w:val="日期 Char"/>
    <w:link w:val="10"/>
    <w:uiPriority w:val="0"/>
    <w:rPr>
      <w:kern w:val="2"/>
      <w:sz w:val="24"/>
    </w:rPr>
  </w:style>
  <w:style w:type="character" w:customStyle="1" w:styleId="30">
    <w:name w:val="正文文本缩进 2 Char"/>
    <w:link w:val="11"/>
    <w:uiPriority w:val="0"/>
    <w:rPr>
      <w:sz w:val="21"/>
    </w:rPr>
  </w:style>
  <w:style w:type="character" w:customStyle="1" w:styleId="31">
    <w:name w:val="页脚 Char"/>
    <w:link w:val="13"/>
    <w:uiPriority w:val="99"/>
    <w:rPr>
      <w:sz w:val="18"/>
    </w:rPr>
  </w:style>
  <w:style w:type="paragraph" w:customStyle="1" w:styleId="32">
    <w:name w:val="TOC 1"/>
    <w:basedOn w:val="1"/>
    <w:next w:val="1"/>
    <w:uiPriority w:val="0"/>
  </w:style>
  <w:style w:type="paragraph" w:customStyle="1" w:styleId="33">
    <w:name w:val="TOC 2"/>
    <w:basedOn w:val="1"/>
    <w:next w:val="1"/>
    <w:uiPriority w:val="0"/>
    <w:pPr>
      <w:ind w:left="420" w:leftChars="200"/>
    </w:pPr>
  </w:style>
  <w:style w:type="character" w:customStyle="1" w:styleId="34">
    <w:name w:val="批注主题 Char"/>
    <w:link w:val="18"/>
    <w:uiPriority w:val="0"/>
    <w:rPr>
      <w:b/>
      <w:bCs/>
      <w:sz w:val="21"/>
    </w:rPr>
  </w:style>
  <w:style w:type="paragraph" w:customStyle="1" w:styleId="35">
    <w:name w:val="正文文本首行缩进 2"/>
    <w:basedOn w:val="9"/>
    <w:qFormat/>
    <w:uiPriority w:val="0"/>
    <w:pPr>
      <w:spacing w:after="120"/>
      <w:ind w:left="420" w:leftChars="200" w:firstLine="420" w:firstLineChars="200"/>
    </w:pPr>
    <w:rPr>
      <w:rFonts w:ascii="Times New Roman"/>
      <w:sz w:val="20"/>
      <w:szCs w:val="24"/>
    </w:rPr>
  </w:style>
  <w:style w:type="paragraph" w:customStyle="1" w:styleId="36">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37">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38">
    <w:name w:val="Char Char Char"/>
    <w:basedOn w:val="1"/>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39">
    <w:name w:val="正文2"/>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0">
    <w:name w:val="正文-首缩2字符"/>
    <w:basedOn w:val="1"/>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41">
    <w:name w:val="font41"/>
    <w:qFormat/>
    <w:uiPriority w:val="0"/>
    <w:rPr>
      <w:rFonts w:hint="eastAsia" w:ascii="仿宋" w:hAnsi="仿宋" w:eastAsia="仿宋" w:cs="仿宋"/>
      <w:color w:val="FF0000"/>
      <w:sz w:val="24"/>
      <w:szCs w:val="24"/>
      <w:u w:val="none"/>
    </w:rPr>
  </w:style>
  <w:style w:type="character" w:customStyle="1" w:styleId="42">
    <w:name w:val="font31"/>
    <w:qFormat/>
    <w:uiPriority w:val="0"/>
    <w:rPr>
      <w:rFonts w:hint="eastAsia" w:ascii="仿宋" w:hAnsi="仿宋" w:eastAsia="仿宋" w:cs="仿宋"/>
      <w:color w:val="000000"/>
      <w:sz w:val="24"/>
      <w:szCs w:val="24"/>
      <w:u w:val="none"/>
    </w:rPr>
  </w:style>
  <w:style w:type="paragraph" w:customStyle="1" w:styleId="43">
    <w:name w:val="正文 A"/>
    <w:qFormat/>
    <w:uiPriority w:val="99"/>
    <w:rPr>
      <w:rFonts w:ascii="Arial Unicode MS" w:hAnsi="Arial Unicode MS" w:eastAsia="Times New Roman" w:cs="宋体"/>
      <w:color w:val="000000"/>
      <w:sz w:val="24"/>
      <w:szCs w:val="24"/>
      <w:lang w:val="en-US" w:eastAsia="zh-CN" w:bidi="ar-SA"/>
    </w:rPr>
  </w:style>
  <w:style w:type="paragraph" w:customStyle="1" w:styleId="44">
    <w:name w:val="列表段落"/>
    <w:basedOn w:val="1"/>
    <w:qFormat/>
    <w:uiPriority w:val="34"/>
    <w:pPr>
      <w:ind w:firstLine="420" w:firstLineChars="200"/>
    </w:pPr>
    <w:rPr>
      <w:szCs w:val="21"/>
    </w:rPr>
  </w:style>
  <w:style w:type="paragraph" w:customStyle="1" w:styleId="45">
    <w:name w:val="修订1"/>
    <w:hidden/>
    <w:unhideWhenUsed/>
    <w:qFormat/>
    <w:uiPriority w:val="99"/>
    <w:rPr>
      <w:rFonts w:ascii="Times New Roman" w:hAnsi="Times New Roman" w:eastAsia="宋体" w:cs="Times New Roman"/>
      <w:sz w:val="21"/>
      <w:lang w:val="en-US" w:eastAsia="zh-CN" w:bidi="ar-SA"/>
    </w:rPr>
  </w:style>
  <w:style w:type="character" w:customStyle="1" w:styleId="46">
    <w:name w:val="正文文本缩进 Char"/>
    <w:basedOn w:val="21"/>
    <w:link w:val="9"/>
    <w:qFormat/>
    <w:uiPriority w:val="0"/>
    <w:rPr>
      <w:rFonts w:ascii="宋体"/>
      <w:sz w:val="28"/>
    </w:rPr>
  </w:style>
  <w:style w:type="paragraph" w:styleId="4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cntcyichu</Company>
  <Pages>52</Pages>
  <Words>23074</Words>
  <Characters>24745</Characters>
  <Lines>192</Lines>
  <Paragraphs>54</Paragraphs>
  <TotalTime>113</TotalTime>
  <ScaleCrop>false</ScaleCrop>
  <LinksUpToDate>false</LinksUpToDate>
  <CharactersWithSpaces>25747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2023-05-31T03:18:00Z</dcterms:created>
  <dc:creator>LSK</dc:creator>
  <cp:keywords>Birthday</cp:keywords>
  <cp:lastModifiedBy>zhbz</cp:lastModifiedBy>
  <cp:lastPrinted>2014-11-14T09:02:00Z</cp:lastPrinted>
  <dcterms:modified xsi:type="dcterms:W3CDTF">2023-05-31T05:22:17Z</dcterms:modified>
  <dc:subject>Birthday</dc:subject>
  <dc:title>Are You suprised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FD48E59EBE374658A501DF9C576A5502</vt:lpwstr>
  </property>
</Properties>
</file>