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40" w:line="400" w:lineRule="atLeast"/>
        <w:jc w:val="center"/>
        <w:rPr>
          <w:rFonts w:ascii="宋体" w:hAnsi="宋体"/>
          <w:b/>
          <w:sz w:val="36"/>
        </w:rPr>
      </w:pPr>
    </w:p>
    <w:p>
      <w:pPr>
        <w:pStyle w:val="37"/>
        <w:ind w:firstLine="723"/>
        <w:rPr>
          <w:rFonts w:ascii="宋体" w:hAnsi="宋体"/>
          <w:b/>
          <w:sz w:val="36"/>
        </w:rPr>
      </w:pPr>
    </w:p>
    <w:p>
      <w:pPr>
        <w:pStyle w:val="37"/>
        <w:ind w:firstLine="723"/>
        <w:rPr>
          <w:rFonts w:ascii="宋体" w:hAnsi="宋体"/>
          <w:b/>
          <w:sz w:val="36"/>
        </w:rPr>
      </w:pPr>
    </w:p>
    <w:p>
      <w:pPr>
        <w:pStyle w:val="37"/>
        <w:ind w:firstLine="723"/>
        <w:rPr>
          <w:rFonts w:ascii="宋体" w:hAnsi="宋体"/>
          <w:b/>
          <w:sz w:val="36"/>
        </w:rPr>
      </w:pPr>
    </w:p>
    <w:p>
      <w:pPr>
        <w:pStyle w:val="37"/>
        <w:ind w:firstLine="723"/>
        <w:rPr>
          <w:rFonts w:ascii="宋体" w:hAnsi="宋体"/>
          <w:b/>
          <w:sz w:val="36"/>
        </w:rPr>
      </w:pPr>
    </w:p>
    <w:p>
      <w:pPr>
        <w:pStyle w:val="37"/>
        <w:ind w:firstLine="723"/>
        <w:rPr>
          <w:rFonts w:ascii="宋体" w:hAnsi="宋体"/>
          <w:b/>
          <w:sz w:val="36"/>
        </w:rPr>
      </w:pPr>
    </w:p>
    <w:p>
      <w:pPr>
        <w:pStyle w:val="37"/>
        <w:ind w:firstLine="723"/>
        <w:jc w:val="center"/>
        <w:rPr>
          <w:rFonts w:ascii="宋体" w:hAnsi="宋体"/>
          <w:b/>
          <w:sz w:val="36"/>
        </w:rPr>
      </w:pPr>
      <w:r>
        <w:rPr>
          <w:rFonts w:hint="eastAsia" w:ascii="宋体" w:hAnsi="宋体"/>
          <w:b/>
          <w:sz w:val="36"/>
        </w:rPr>
        <w:t>采购文件</w:t>
      </w:r>
    </w:p>
    <w:p>
      <w:pPr>
        <w:pStyle w:val="37"/>
        <w:ind w:firstLine="723"/>
        <w:jc w:val="left"/>
        <w:rPr>
          <w:rFonts w:ascii="宋体" w:hAnsi="宋体"/>
          <w:b/>
          <w:sz w:val="36"/>
        </w:rPr>
      </w:pPr>
    </w:p>
    <w:p>
      <w:pPr>
        <w:pStyle w:val="37"/>
        <w:ind w:firstLine="723"/>
        <w:jc w:val="left"/>
        <w:rPr>
          <w:rFonts w:ascii="宋体" w:hAnsi="宋体"/>
          <w:b/>
          <w:sz w:val="36"/>
        </w:rPr>
      </w:pPr>
    </w:p>
    <w:p>
      <w:pPr>
        <w:pStyle w:val="37"/>
        <w:ind w:firstLine="723"/>
        <w:jc w:val="center"/>
        <w:rPr>
          <w:rFonts w:ascii="宋体" w:hAnsi="宋体"/>
          <w:b/>
          <w:sz w:val="36"/>
        </w:rPr>
      </w:pPr>
      <w:r>
        <w:rPr>
          <w:rFonts w:hint="eastAsia" w:ascii="宋体" w:hAnsi="宋体"/>
          <w:b/>
          <w:sz w:val="36"/>
        </w:rPr>
        <w:t>项目名称：北京大学第六医院</w:t>
      </w:r>
    </w:p>
    <w:p>
      <w:pPr>
        <w:pStyle w:val="37"/>
        <w:ind w:firstLine="723"/>
        <w:jc w:val="center"/>
        <w:rPr>
          <w:rFonts w:ascii="宋体" w:hAnsi="宋体"/>
          <w:b/>
          <w:sz w:val="36"/>
        </w:rPr>
      </w:pPr>
      <w:r>
        <w:rPr>
          <w:rFonts w:hint="eastAsia" w:ascii="宋体" w:hAnsi="宋体"/>
          <w:b/>
          <w:sz w:val="36"/>
        </w:rPr>
        <w:t>机房设备提升—两院区机房装修改造项目</w:t>
      </w:r>
    </w:p>
    <w:p>
      <w:pPr>
        <w:pStyle w:val="37"/>
        <w:ind w:firstLine="723"/>
        <w:jc w:val="left"/>
        <w:rPr>
          <w:rFonts w:ascii="宋体" w:hAnsi="宋体"/>
          <w:b/>
          <w:sz w:val="36"/>
        </w:rPr>
      </w:pPr>
    </w:p>
    <w:p>
      <w:pPr>
        <w:pStyle w:val="37"/>
        <w:ind w:firstLine="723"/>
        <w:rPr>
          <w:rFonts w:ascii="宋体" w:hAnsi="宋体"/>
          <w:b/>
          <w:sz w:val="36"/>
        </w:rPr>
      </w:pPr>
    </w:p>
    <w:p>
      <w:pPr>
        <w:pStyle w:val="37"/>
        <w:ind w:firstLine="723"/>
        <w:rPr>
          <w:rFonts w:ascii="宋体" w:hAnsi="宋体"/>
          <w:b/>
          <w:sz w:val="36"/>
        </w:rPr>
      </w:pPr>
    </w:p>
    <w:p>
      <w:pPr>
        <w:pStyle w:val="37"/>
        <w:ind w:firstLine="723"/>
        <w:rPr>
          <w:rFonts w:ascii="宋体" w:hAnsi="宋体"/>
          <w:b/>
          <w:sz w:val="36"/>
        </w:rPr>
      </w:pPr>
    </w:p>
    <w:p>
      <w:pPr>
        <w:pStyle w:val="37"/>
        <w:ind w:firstLine="723"/>
        <w:rPr>
          <w:rFonts w:ascii="宋体" w:hAnsi="宋体"/>
          <w:b/>
          <w:sz w:val="36"/>
        </w:rPr>
      </w:pPr>
    </w:p>
    <w:p>
      <w:pPr>
        <w:pStyle w:val="37"/>
        <w:ind w:firstLine="723"/>
        <w:rPr>
          <w:rFonts w:ascii="宋体" w:hAnsi="宋体"/>
          <w:b/>
          <w:sz w:val="36"/>
        </w:rPr>
      </w:pPr>
    </w:p>
    <w:p>
      <w:pPr>
        <w:pStyle w:val="37"/>
        <w:ind w:left="0" w:leftChars="0" w:firstLine="0" w:firstLineChars="0"/>
        <w:rPr>
          <w:rFonts w:ascii="宋体" w:hAnsi="宋体"/>
          <w:b/>
          <w:sz w:val="36"/>
        </w:rPr>
      </w:pPr>
    </w:p>
    <w:p>
      <w:pPr>
        <w:numPr>
          <w:ilvl w:val="0"/>
          <w:numId w:val="1"/>
        </w:numPr>
        <w:spacing w:before="240" w:line="400" w:lineRule="atLeast"/>
        <w:jc w:val="center"/>
        <w:rPr>
          <w:rFonts w:ascii="宋体" w:hAnsi="宋体"/>
          <w:b/>
          <w:sz w:val="36"/>
        </w:rPr>
      </w:pPr>
      <w:r>
        <w:rPr>
          <w:rFonts w:hint="eastAsia" w:ascii="宋体" w:hAnsi="宋体"/>
          <w:b/>
          <w:sz w:val="36"/>
        </w:rPr>
        <w:t>响应人须知</w:t>
      </w:r>
    </w:p>
    <w:p>
      <w:pPr>
        <w:pStyle w:val="37"/>
        <w:ind w:firstLine="3915" w:firstLineChars="1300"/>
      </w:pPr>
      <w:r>
        <w:rPr>
          <w:rFonts w:hint="eastAsia" w:ascii="宋体" w:hAnsi="宋体"/>
          <w:b/>
          <w:sz w:val="30"/>
          <w:szCs w:val="30"/>
        </w:rPr>
        <w:t>A说明</w:t>
      </w:r>
    </w:p>
    <w:p>
      <w:pPr>
        <w:pStyle w:val="37"/>
        <w:numPr>
          <w:ilvl w:val="0"/>
          <w:numId w:val="2"/>
        </w:numPr>
        <w:ind w:firstLine="480"/>
        <w:rPr>
          <w:rFonts w:ascii="宋体" w:hAnsi="宋体"/>
          <w:bCs/>
          <w:sz w:val="24"/>
        </w:rPr>
      </w:pPr>
      <w:r>
        <w:rPr>
          <w:rFonts w:hint="eastAsia" w:ascii="宋体" w:hAnsi="宋体"/>
          <w:bCs/>
          <w:sz w:val="24"/>
        </w:rPr>
        <w:t>适用范围：</w:t>
      </w:r>
    </w:p>
    <w:p>
      <w:pPr>
        <w:pStyle w:val="37"/>
        <w:ind w:left="840" w:leftChars="400" w:firstLine="0" w:firstLineChars="0"/>
        <w:rPr>
          <w:rFonts w:ascii="宋体" w:hAnsi="宋体"/>
          <w:bCs/>
          <w:sz w:val="24"/>
          <w:highlight w:val="none"/>
        </w:rPr>
      </w:pPr>
      <w:r>
        <w:rPr>
          <w:rFonts w:hint="eastAsia" w:ascii="宋体" w:hAnsi="宋体"/>
          <w:bCs/>
          <w:sz w:val="24"/>
        </w:rPr>
        <w:t xml:space="preserve">   1.1项目名称：北京大学第六医院机房设备提升—两院区机房装修改造项目</w:t>
      </w:r>
    </w:p>
    <w:p>
      <w:pPr>
        <w:pStyle w:val="37"/>
        <w:ind w:left="840" w:leftChars="400" w:firstLine="0" w:firstLineChars="0"/>
        <w:rPr>
          <w:rFonts w:ascii="宋体" w:hAnsi="宋体"/>
          <w:bCs/>
          <w:sz w:val="24"/>
          <w:highlight w:val="none"/>
        </w:rPr>
      </w:pPr>
      <w:r>
        <w:rPr>
          <w:rFonts w:hint="eastAsia" w:ascii="宋体" w:hAnsi="宋体"/>
          <w:bCs/>
          <w:sz w:val="24"/>
          <w:highlight w:val="none"/>
        </w:rPr>
        <w:t xml:space="preserve">   1.2项目预算：</w:t>
      </w:r>
      <w:r>
        <w:rPr>
          <w:rFonts w:hint="eastAsia" w:ascii="宋体" w:hAnsi="宋体"/>
          <w:bCs/>
          <w:sz w:val="24"/>
          <w:highlight w:val="yellow"/>
        </w:rPr>
        <w:t>22万</w:t>
      </w:r>
      <w:r>
        <w:rPr>
          <w:rFonts w:hint="eastAsia" w:ascii="宋体" w:hAnsi="宋体"/>
          <w:bCs/>
          <w:sz w:val="24"/>
          <w:highlight w:val="none"/>
        </w:rPr>
        <w:t>元人民币。</w:t>
      </w:r>
    </w:p>
    <w:p>
      <w:pPr>
        <w:pStyle w:val="37"/>
        <w:ind w:left="840" w:leftChars="400" w:firstLine="0" w:firstLineChars="0"/>
        <w:rPr>
          <w:rFonts w:ascii="宋体" w:hAnsi="宋体"/>
          <w:bCs/>
          <w:sz w:val="24"/>
          <w:highlight w:val="none"/>
        </w:rPr>
      </w:pPr>
      <w:r>
        <w:rPr>
          <w:rFonts w:hint="eastAsia" w:ascii="宋体" w:hAnsi="宋体"/>
          <w:bCs/>
          <w:sz w:val="24"/>
          <w:highlight w:val="none"/>
        </w:rPr>
        <w:t xml:space="preserve">   1.3资金来源：财政资金。</w:t>
      </w:r>
    </w:p>
    <w:p>
      <w:pPr>
        <w:pStyle w:val="37"/>
        <w:ind w:left="840" w:leftChars="400" w:firstLine="0" w:firstLineChars="0"/>
        <w:rPr>
          <w:rFonts w:hint="eastAsia" w:ascii="宋体" w:hAnsi="宋体" w:eastAsia="宋体"/>
          <w:bCs/>
          <w:sz w:val="24"/>
          <w:highlight w:val="none"/>
          <w:lang w:eastAsia="zh-CN"/>
        </w:rPr>
      </w:pPr>
      <w:r>
        <w:rPr>
          <w:rFonts w:hint="eastAsia" w:ascii="宋体" w:hAnsi="宋体"/>
          <w:bCs/>
          <w:sz w:val="24"/>
          <w:highlight w:val="none"/>
        </w:rPr>
        <w:t xml:space="preserve">   1.4项目属性：</w:t>
      </w:r>
      <w:r>
        <w:rPr>
          <w:rFonts w:hint="eastAsia" w:ascii="宋体" w:hAnsi="宋体"/>
          <w:bCs/>
          <w:sz w:val="24"/>
          <w:highlight w:val="none"/>
          <w:lang w:eastAsia="zh-CN"/>
        </w:rPr>
        <w:t>货物</w:t>
      </w:r>
      <w:r>
        <w:rPr>
          <w:rFonts w:hint="eastAsia" w:ascii="宋体" w:hAnsi="宋体"/>
          <w:bCs/>
          <w:sz w:val="24"/>
          <w:highlight w:val="none"/>
        </w:rPr>
        <w:t>类</w:t>
      </w:r>
      <w:r>
        <w:rPr>
          <w:rFonts w:hint="eastAsia" w:ascii="宋体" w:hAnsi="宋体"/>
          <w:bCs/>
          <w:sz w:val="24"/>
          <w:highlight w:val="none"/>
          <w:lang w:eastAsia="zh-CN"/>
        </w:rPr>
        <w:t>。</w:t>
      </w:r>
    </w:p>
    <w:p>
      <w:pPr>
        <w:pStyle w:val="37"/>
        <w:ind w:left="840" w:leftChars="400" w:firstLine="0" w:firstLineChars="0"/>
        <w:rPr>
          <w:rFonts w:hint="eastAsia" w:ascii="宋体" w:hAnsi="宋体" w:eastAsia="宋体"/>
          <w:bCs/>
          <w:sz w:val="24"/>
          <w:lang w:eastAsia="zh-CN"/>
        </w:rPr>
      </w:pPr>
      <w:r>
        <w:rPr>
          <w:rFonts w:hint="eastAsia" w:ascii="宋体" w:hAnsi="宋体"/>
          <w:bCs/>
          <w:sz w:val="24"/>
          <w:highlight w:val="none"/>
        </w:rPr>
        <w:t xml:space="preserve">   1.5采购标的所属行业：</w:t>
      </w:r>
      <w:r>
        <w:rPr>
          <w:rFonts w:hint="eastAsia" w:ascii="宋体" w:hAnsi="宋体"/>
          <w:bCs/>
          <w:sz w:val="24"/>
          <w:highlight w:val="none"/>
          <w:lang w:eastAsia="zh-CN"/>
        </w:rPr>
        <w:t>软件和信息技术服</w:t>
      </w:r>
      <w:r>
        <w:rPr>
          <w:rFonts w:hint="eastAsia" w:ascii="宋体" w:hAnsi="宋体"/>
          <w:bCs/>
          <w:sz w:val="24"/>
          <w:lang w:eastAsia="zh-CN"/>
        </w:rPr>
        <w:t>务业。</w:t>
      </w:r>
    </w:p>
    <w:p>
      <w:pPr>
        <w:pStyle w:val="37"/>
        <w:ind w:left="840" w:leftChars="400" w:firstLine="0" w:firstLineChars="0"/>
        <w:rPr>
          <w:rFonts w:ascii="宋体" w:hAnsi="宋体"/>
          <w:bCs/>
          <w:sz w:val="24"/>
        </w:rPr>
      </w:pPr>
      <w:r>
        <w:rPr>
          <w:rFonts w:hint="eastAsia" w:ascii="宋体" w:hAnsi="宋体"/>
          <w:bCs/>
          <w:sz w:val="24"/>
        </w:rPr>
        <w:t xml:space="preserve">   1.6本项目为</w:t>
      </w:r>
      <w:r>
        <w:rPr>
          <w:rFonts w:hint="eastAsia" w:ascii="宋体" w:hAnsi="宋体"/>
          <w:bCs/>
          <w:sz w:val="24"/>
          <w:highlight w:val="yellow"/>
        </w:rPr>
        <w:t>非专门面向中小企业</w:t>
      </w:r>
      <w:r>
        <w:rPr>
          <w:rFonts w:hint="eastAsia" w:ascii="宋体" w:hAnsi="宋体"/>
          <w:bCs/>
          <w:sz w:val="24"/>
        </w:rPr>
        <w:t>的项目。</w:t>
      </w:r>
    </w:p>
    <w:p>
      <w:pPr>
        <w:pStyle w:val="37"/>
        <w:numPr>
          <w:ilvl w:val="0"/>
          <w:numId w:val="2"/>
        </w:numPr>
        <w:ind w:firstLine="480"/>
        <w:rPr>
          <w:rFonts w:ascii="宋体" w:hAnsi="宋体"/>
          <w:bCs/>
          <w:sz w:val="24"/>
          <w:highlight w:val="yellow"/>
        </w:rPr>
      </w:pPr>
      <w:r>
        <w:rPr>
          <w:rFonts w:hint="eastAsia" w:ascii="宋体" w:hAnsi="宋体"/>
          <w:bCs/>
          <w:sz w:val="24"/>
          <w:highlight w:val="yellow"/>
        </w:rPr>
        <w:t>合格论证人的资格要求：</w:t>
      </w:r>
    </w:p>
    <w:p>
      <w:pPr>
        <w:pStyle w:val="18"/>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bCs/>
        </w:rPr>
        <w:t xml:space="preserve">2.1 </w:t>
      </w:r>
      <w:r>
        <w:rPr>
          <w:rFonts w:hint="eastAsia" w:ascii="宋体" w:hAnsi="宋体" w:cs="宋体"/>
          <w:color w:val="000000"/>
          <w:shd w:val="clear" w:color="auto" w:fill="FFFFFF"/>
        </w:rPr>
        <w:t>符合《中华人民共和国招标投标法》要求的，具备独立企业法人资格，独立承担民事责任的法人单位；</w:t>
      </w:r>
    </w:p>
    <w:p>
      <w:pPr>
        <w:pStyle w:val="18"/>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2.2具有良好的配套服务能力和信誉，企业没有因骗取中标或者严重违约以及发生重大责任事故等问题，没有被有关部门暂停投标资格的；</w:t>
      </w:r>
    </w:p>
    <w:p>
      <w:pPr>
        <w:pStyle w:val="18"/>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2.3具有法律、行政法</w:t>
      </w:r>
      <w:bookmarkStart w:id="5" w:name="_GoBack"/>
      <w:bookmarkEnd w:id="5"/>
      <w:r>
        <w:rPr>
          <w:rFonts w:hint="eastAsia" w:ascii="宋体" w:hAnsi="宋体" w:cs="宋体"/>
          <w:color w:val="000000"/>
          <w:shd w:val="clear" w:color="auto" w:fill="FFFFFF"/>
        </w:rPr>
        <w:t>规规定的其他条件；</w:t>
      </w:r>
    </w:p>
    <w:p>
      <w:pPr>
        <w:pStyle w:val="18"/>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2.4应自觉抵制政府采购领域商业贿赂行为；</w:t>
      </w:r>
    </w:p>
    <w:p>
      <w:pPr>
        <w:pStyle w:val="18"/>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2.5具有履行合同所必需的设备和专业技术能力；</w:t>
      </w:r>
    </w:p>
    <w:p>
      <w:pPr>
        <w:pStyle w:val="18"/>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2.6营业执照复印件</w:t>
      </w:r>
      <w:r>
        <w:rPr>
          <w:rFonts w:hint="eastAsia" w:ascii="宋体" w:hAnsi="宋体" w:cs="宋体"/>
          <w:color w:val="444444"/>
          <w:shd w:val="clear" w:color="auto" w:fill="FFFFFF"/>
        </w:rPr>
        <w:t>；</w:t>
      </w:r>
    </w:p>
    <w:p>
      <w:pPr>
        <w:pStyle w:val="18"/>
        <w:widowControl/>
        <w:shd w:val="clear" w:color="auto" w:fill="FFFFFF"/>
        <w:spacing w:beforeAutospacing="0" w:after="12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2.7有依法缴纳税收和社会保障资金的良好记录；</w:t>
      </w:r>
    </w:p>
    <w:p>
      <w:pPr>
        <w:pStyle w:val="18"/>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2.8单位负责人为同一人或者存在直接控股、管理关系的不同供应商，不得参加同一合同项下的政府采购活动；</w:t>
      </w:r>
    </w:p>
    <w:p>
      <w:pPr>
        <w:pStyle w:val="18"/>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2.9除单一来源采购项目外，为采购项目提供整体设计、规范编制或者项目管理、监理、检测等服务的供应商，不得再参加该采购项目的其他采购活动。同一供应商可以同时承担项目的整体设计、规范编制和项目管理、监理、检测等服务；</w:t>
      </w:r>
    </w:p>
    <w:p>
      <w:pPr>
        <w:pStyle w:val="18"/>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2.10对列入失信被执行人、重大税收违法案件当事人名单、政府采购严重违法失信行为记录名单的供应商，拒绝其参与政府采购活动；</w:t>
      </w:r>
    </w:p>
    <w:p>
      <w:pPr>
        <w:pStyle w:val="18"/>
        <w:widowControl/>
        <w:shd w:val="clear" w:color="auto" w:fill="FFFFFF"/>
        <w:spacing w:beforeAutospacing="0" w:afterAutospacing="0" w:line="360" w:lineRule="atLeast"/>
        <w:ind w:firstLine="1200" w:firstLineChars="500"/>
        <w:rPr>
          <w:rFonts w:ascii="宋体" w:hAnsi="宋体" w:cs="宋体"/>
          <w:color w:val="000000"/>
          <w:shd w:val="clear" w:color="auto" w:fill="FFFFFF"/>
        </w:rPr>
      </w:pPr>
      <w:r>
        <w:rPr>
          <w:rFonts w:hint="eastAsia" w:ascii="宋体" w:hAnsi="宋体" w:cs="宋体"/>
          <w:color w:val="000000"/>
          <w:shd w:val="clear" w:color="auto" w:fill="FFFFFF"/>
        </w:rPr>
        <w:t>2.11不接受联合体，不得分包、转包、不接受联合体投标；</w:t>
      </w:r>
    </w:p>
    <w:p>
      <w:pPr>
        <w:tabs>
          <w:tab w:val="left" w:pos="567"/>
        </w:tabs>
        <w:spacing w:line="480" w:lineRule="exact"/>
        <w:ind w:firstLine="1200" w:firstLineChars="500"/>
        <w:rPr>
          <w:rFonts w:ascii="宋体" w:hAnsi="宋体" w:cs="宋体"/>
          <w:color w:val="000000"/>
          <w:sz w:val="24"/>
          <w:szCs w:val="24"/>
          <w:shd w:val="clear" w:color="auto" w:fill="FFFFFF"/>
        </w:rPr>
      </w:pPr>
      <w:r>
        <w:rPr>
          <w:rFonts w:hint="eastAsia" w:ascii="宋体" w:hAnsi="宋体"/>
          <w:sz w:val="24"/>
        </w:rPr>
        <w:t>2.12响应人</w:t>
      </w:r>
      <w:r>
        <w:rPr>
          <w:rFonts w:ascii="宋体" w:hAnsi="宋体"/>
          <w:sz w:val="24"/>
        </w:rPr>
        <w:t>须满足《中华人民共和国政府采购法》二十二条之规定</w:t>
      </w:r>
      <w:r>
        <w:rPr>
          <w:rFonts w:hint="eastAsia" w:ascii="宋体" w:hAnsi="宋体"/>
          <w:sz w:val="24"/>
        </w:rPr>
        <w:t>。</w:t>
      </w:r>
    </w:p>
    <w:p>
      <w:pPr>
        <w:pStyle w:val="18"/>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2.13以上要求所提供材料须真实，若有提供不真实材料的供应商经审查核实后将被拒绝参加采购论证。</w:t>
      </w:r>
    </w:p>
    <w:p>
      <w:pPr>
        <w:pStyle w:val="18"/>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3.定义</w:t>
      </w:r>
    </w:p>
    <w:p>
      <w:pPr>
        <w:pStyle w:val="18"/>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3.1“采购人”系指北京大学第六医院。</w:t>
      </w:r>
    </w:p>
    <w:p>
      <w:pPr>
        <w:pStyle w:val="18"/>
        <w:widowControl/>
        <w:shd w:val="clear" w:color="auto" w:fill="FFFFFF"/>
        <w:spacing w:beforeAutospacing="0" w:after="120" w:afterAutospacing="0" w:line="360" w:lineRule="atLeast"/>
        <w:ind w:left="840" w:leftChars="400"/>
        <w:rPr>
          <w:rFonts w:ascii="宋体" w:hAnsi="宋体" w:cs="宋体"/>
          <w:color w:val="000000"/>
          <w:shd w:val="clear" w:color="auto" w:fill="FFFFFF"/>
        </w:rPr>
      </w:pPr>
      <w:r>
        <w:rPr>
          <w:rFonts w:hint="eastAsia" w:ascii="宋体" w:hAnsi="宋体" w:cs="宋体"/>
          <w:color w:val="000000"/>
          <w:shd w:val="clear" w:color="auto" w:fill="FFFFFF"/>
        </w:rPr>
        <w:t xml:space="preserve">   3.2“响应人/论证人”系指递交论证文件的服务商。</w:t>
      </w:r>
    </w:p>
    <w:p>
      <w:pPr>
        <w:pStyle w:val="18"/>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3.3“服务”系指需求文件中“服务需求书”规定响应人完成本项目应提供的</w:t>
      </w:r>
    </w:p>
    <w:p>
      <w:pPr>
        <w:pStyle w:val="18"/>
        <w:widowControl/>
        <w:shd w:val="clear" w:color="auto" w:fill="FFFFFF"/>
        <w:spacing w:beforeAutospacing="0" w:after="120" w:afterAutospacing="0" w:line="360" w:lineRule="atLeast"/>
        <w:ind w:left="1197" w:leftChars="570"/>
        <w:rPr>
          <w:rFonts w:ascii="宋体" w:hAnsi="宋体" w:cs="宋体"/>
          <w:color w:val="000000"/>
          <w:shd w:val="clear" w:color="auto" w:fill="FFFFFF"/>
        </w:rPr>
      </w:pPr>
      <w:r>
        <w:rPr>
          <w:rFonts w:hint="eastAsia" w:ascii="宋体" w:hAnsi="宋体" w:cs="宋体"/>
          <w:color w:val="000000"/>
          <w:shd w:val="clear" w:color="auto" w:fill="FFFFFF"/>
        </w:rPr>
        <w:t>全部相关服务。</w:t>
      </w:r>
    </w:p>
    <w:p>
      <w:pPr>
        <w:pStyle w:val="18"/>
        <w:widowControl/>
        <w:shd w:val="clear" w:color="auto" w:fill="FFFFFF"/>
        <w:spacing w:beforeAutospacing="0" w:afterAutospacing="0" w:line="360" w:lineRule="atLeast"/>
        <w:rPr>
          <w:rFonts w:ascii="宋体" w:hAnsi="宋体" w:cs="宋体"/>
          <w:color w:val="000000"/>
          <w:shd w:val="clear" w:color="auto" w:fill="FFFFFF"/>
        </w:rPr>
      </w:pPr>
      <w:r>
        <w:rPr>
          <w:rFonts w:hint="eastAsia" w:ascii="宋体" w:hAnsi="宋体" w:cs="宋体"/>
          <w:color w:val="000000"/>
          <w:shd w:val="clear" w:color="auto" w:fill="FFFFFF"/>
        </w:rPr>
        <w:t xml:space="preserve">       4.投标委托</w:t>
      </w:r>
    </w:p>
    <w:p>
      <w:pPr>
        <w:spacing w:line="500" w:lineRule="exact"/>
        <w:ind w:left="1199" w:leftChars="228" w:hanging="720" w:hangingChars="300"/>
        <w:rPr>
          <w:rFonts w:ascii="宋体"/>
          <w:sz w:val="24"/>
        </w:rPr>
      </w:pPr>
      <w:r>
        <w:rPr>
          <w:rFonts w:hint="eastAsia" w:ascii="宋体" w:hAnsi="宋体" w:cs="宋体"/>
          <w:color w:val="000000"/>
          <w:sz w:val="24"/>
          <w:szCs w:val="24"/>
          <w:shd w:val="clear" w:color="auto" w:fill="FFFFFF"/>
        </w:rPr>
        <w:t xml:space="preserve">      4.1</w:t>
      </w:r>
      <w:r>
        <w:rPr>
          <w:rFonts w:hint="eastAsia" w:ascii="宋体"/>
          <w:sz w:val="24"/>
        </w:rPr>
        <w:t>如响应人代表不是法定代表人，须持有《法定代表人授权书》</w:t>
      </w:r>
      <w:r>
        <w:rPr>
          <w:rFonts w:ascii="宋体"/>
          <w:sz w:val="24"/>
        </w:rPr>
        <w:t xml:space="preserve">( </w:t>
      </w:r>
      <w:r>
        <w:rPr>
          <w:rFonts w:hint="eastAsia" w:ascii="宋体"/>
          <w:sz w:val="24"/>
        </w:rPr>
        <w:t>统一格式，见第四部分附件一</w:t>
      </w:r>
      <w:r>
        <w:rPr>
          <w:rFonts w:ascii="宋体"/>
          <w:sz w:val="24"/>
        </w:rPr>
        <w:t>)</w:t>
      </w:r>
      <w:r>
        <w:rPr>
          <w:rFonts w:hint="eastAsia" w:ascii="宋体"/>
          <w:sz w:val="24"/>
        </w:rPr>
        <w:t>，否则将视为投标无效。</w:t>
      </w:r>
    </w:p>
    <w:p>
      <w:pPr>
        <w:pStyle w:val="37"/>
        <w:ind w:firstLine="480"/>
        <w:rPr>
          <w:rFonts w:ascii="宋体"/>
          <w:sz w:val="24"/>
        </w:rPr>
      </w:pPr>
    </w:p>
    <w:p>
      <w:pPr>
        <w:pStyle w:val="37"/>
        <w:ind w:firstLine="480"/>
        <w:rPr>
          <w:rFonts w:ascii="宋体"/>
          <w:sz w:val="24"/>
        </w:rPr>
      </w:pPr>
    </w:p>
    <w:p>
      <w:pPr>
        <w:pStyle w:val="37"/>
        <w:ind w:firstLine="602"/>
        <w:jc w:val="center"/>
        <w:rPr>
          <w:rFonts w:ascii="宋体"/>
          <w:b/>
          <w:bCs/>
          <w:sz w:val="30"/>
          <w:szCs w:val="30"/>
        </w:rPr>
      </w:pPr>
      <w:r>
        <w:rPr>
          <w:rFonts w:hint="eastAsia" w:ascii="宋体"/>
          <w:b/>
          <w:bCs/>
          <w:sz w:val="30"/>
          <w:szCs w:val="30"/>
        </w:rPr>
        <w:t>B采购文件</w:t>
      </w:r>
    </w:p>
    <w:p>
      <w:pPr>
        <w:pStyle w:val="37"/>
        <w:numPr>
          <w:ilvl w:val="0"/>
          <w:numId w:val="3"/>
        </w:numPr>
        <w:ind w:firstLine="480"/>
        <w:rPr>
          <w:rFonts w:ascii="宋体"/>
          <w:sz w:val="24"/>
        </w:rPr>
      </w:pPr>
      <w:r>
        <w:rPr>
          <w:rFonts w:hint="eastAsia" w:ascii="宋体"/>
          <w:sz w:val="24"/>
        </w:rPr>
        <w:t>采购文件</w:t>
      </w:r>
    </w:p>
    <w:p>
      <w:pPr>
        <w:pStyle w:val="37"/>
        <w:ind w:left="840" w:leftChars="400" w:firstLine="480" w:firstLineChars="0"/>
        <w:rPr>
          <w:rFonts w:ascii="宋体"/>
          <w:sz w:val="24"/>
        </w:rPr>
      </w:pPr>
      <w:r>
        <w:rPr>
          <w:rFonts w:hint="eastAsia" w:ascii="宋体"/>
          <w:sz w:val="24"/>
        </w:rPr>
        <w:t>5.1采购文件由下述所列内容组成：</w:t>
      </w:r>
    </w:p>
    <w:p>
      <w:pPr>
        <w:pStyle w:val="37"/>
        <w:numPr>
          <w:ilvl w:val="0"/>
          <w:numId w:val="4"/>
        </w:numPr>
        <w:ind w:leftChars="0" w:firstLineChars="0"/>
        <w:rPr>
          <w:rFonts w:ascii="宋体"/>
          <w:sz w:val="24"/>
        </w:rPr>
      </w:pPr>
      <w:r>
        <w:rPr>
          <w:rFonts w:hint="eastAsia" w:ascii="宋体"/>
          <w:sz w:val="24"/>
        </w:rPr>
        <w:t>响应人须知</w:t>
      </w:r>
    </w:p>
    <w:p>
      <w:pPr>
        <w:pStyle w:val="37"/>
        <w:numPr>
          <w:ilvl w:val="0"/>
          <w:numId w:val="4"/>
        </w:numPr>
        <w:ind w:leftChars="0" w:firstLineChars="0"/>
        <w:rPr>
          <w:rFonts w:ascii="宋体"/>
          <w:sz w:val="24"/>
        </w:rPr>
      </w:pPr>
      <w:r>
        <w:rPr>
          <w:rFonts w:hint="eastAsia" w:ascii="宋体"/>
          <w:sz w:val="24"/>
        </w:rPr>
        <w:t>服务需求书</w:t>
      </w:r>
    </w:p>
    <w:p>
      <w:pPr>
        <w:pStyle w:val="37"/>
        <w:numPr>
          <w:ilvl w:val="0"/>
          <w:numId w:val="4"/>
        </w:numPr>
        <w:ind w:leftChars="0" w:firstLineChars="0"/>
        <w:rPr>
          <w:rFonts w:ascii="宋体"/>
          <w:sz w:val="24"/>
        </w:rPr>
      </w:pPr>
      <w:r>
        <w:rPr>
          <w:rFonts w:hint="eastAsia" w:ascii="宋体"/>
          <w:sz w:val="24"/>
        </w:rPr>
        <w:t>拟签订的合同文本</w:t>
      </w:r>
    </w:p>
    <w:p>
      <w:pPr>
        <w:pStyle w:val="37"/>
        <w:numPr>
          <w:ilvl w:val="0"/>
          <w:numId w:val="4"/>
        </w:numPr>
        <w:ind w:leftChars="0" w:firstLineChars="0"/>
        <w:rPr>
          <w:rFonts w:ascii="宋体"/>
          <w:sz w:val="24"/>
        </w:rPr>
      </w:pPr>
      <w:r>
        <w:rPr>
          <w:rFonts w:hint="eastAsia" w:ascii="宋体"/>
          <w:sz w:val="24"/>
        </w:rPr>
        <w:t>附件</w:t>
      </w:r>
    </w:p>
    <w:p>
      <w:pPr>
        <w:pStyle w:val="37"/>
        <w:numPr>
          <w:ilvl w:val="0"/>
          <w:numId w:val="4"/>
        </w:numPr>
        <w:spacing w:after="0"/>
        <w:ind w:left="1678" w:leftChars="0" w:firstLineChars="0"/>
        <w:rPr>
          <w:rFonts w:ascii="宋体"/>
          <w:sz w:val="24"/>
        </w:rPr>
      </w:pPr>
      <w:r>
        <w:rPr>
          <w:rFonts w:hint="eastAsia" w:ascii="宋体"/>
          <w:sz w:val="24"/>
        </w:rPr>
        <w:t>评标细则</w:t>
      </w:r>
    </w:p>
    <w:p>
      <w:pPr>
        <w:spacing w:afterLines="50" w:line="500" w:lineRule="exact"/>
        <w:ind w:left="1333" w:leftChars="228" w:hanging="854" w:hangingChars="356"/>
        <w:rPr>
          <w:rFonts w:ascii="宋体"/>
          <w:sz w:val="24"/>
        </w:rPr>
      </w:pPr>
      <w:r>
        <w:rPr>
          <w:rFonts w:hint="eastAsia" w:ascii="宋体"/>
          <w:sz w:val="24"/>
          <w:szCs w:val="24"/>
        </w:rPr>
        <w:t xml:space="preserve">       5.2</w:t>
      </w:r>
      <w:r>
        <w:rPr>
          <w:rFonts w:hint="eastAsia" w:ascii="宋体"/>
          <w:sz w:val="24"/>
        </w:rPr>
        <w:t>响应人应仔细阅读采购文件的全部内容。按采购文件的要求提供论证文件并保证所提供的全部资料的真实性，以使其投标对采购文件做出实质性响应。否则，将导致投标无效。</w:t>
      </w:r>
    </w:p>
    <w:p>
      <w:pPr>
        <w:pStyle w:val="37"/>
        <w:numPr>
          <w:ilvl w:val="0"/>
          <w:numId w:val="3"/>
        </w:numPr>
        <w:ind w:firstLine="480"/>
        <w:rPr>
          <w:rFonts w:ascii="宋体"/>
          <w:sz w:val="24"/>
          <w:szCs w:val="20"/>
        </w:rPr>
      </w:pPr>
      <w:r>
        <w:rPr>
          <w:rFonts w:hint="eastAsia" w:ascii="宋体"/>
          <w:sz w:val="24"/>
          <w:szCs w:val="20"/>
        </w:rPr>
        <w:t>需求文件的修改</w:t>
      </w:r>
    </w:p>
    <w:p>
      <w:pPr>
        <w:spacing w:line="360" w:lineRule="auto"/>
        <w:ind w:left="1440" w:hanging="1440" w:hangingChars="600"/>
        <w:rPr>
          <w:rFonts w:ascii="宋体"/>
          <w:sz w:val="24"/>
        </w:rPr>
      </w:pPr>
      <w:r>
        <w:rPr>
          <w:rFonts w:hint="eastAsia" w:ascii="宋体"/>
          <w:sz w:val="24"/>
        </w:rPr>
        <w:t xml:space="preserve">           6.1采购人在投标截止时间前，可对采购文件用补充文件的方式进行修改。这</w:t>
      </w:r>
    </w:p>
    <w:p>
      <w:pPr>
        <w:spacing w:line="360" w:lineRule="auto"/>
        <w:ind w:left="1437" w:leftChars="627" w:hanging="120" w:hangingChars="50"/>
        <w:rPr>
          <w:rFonts w:ascii="宋体"/>
          <w:sz w:val="24"/>
        </w:rPr>
      </w:pPr>
      <w:r>
        <w:rPr>
          <w:rFonts w:hint="eastAsia" w:ascii="宋体"/>
          <w:sz w:val="24"/>
        </w:rPr>
        <w:t>种修改可能是采购人主动做出的，也可能是为了解答响应人要求采购人澄清</w:t>
      </w:r>
    </w:p>
    <w:p>
      <w:pPr>
        <w:spacing w:line="360" w:lineRule="auto"/>
        <w:ind w:left="1437" w:leftChars="627" w:hanging="120" w:hangingChars="50"/>
        <w:rPr>
          <w:rFonts w:ascii="宋体"/>
          <w:sz w:val="24"/>
        </w:rPr>
      </w:pPr>
      <w:r>
        <w:rPr>
          <w:rFonts w:hint="eastAsia" w:ascii="宋体"/>
          <w:sz w:val="24"/>
        </w:rPr>
        <w:t>的问题而做出的。</w:t>
      </w:r>
    </w:p>
    <w:p>
      <w:pPr>
        <w:pStyle w:val="37"/>
        <w:ind w:left="840" w:leftChars="400" w:firstLine="0" w:firstLineChars="0"/>
        <w:rPr>
          <w:rFonts w:ascii="宋体"/>
          <w:sz w:val="24"/>
        </w:rPr>
      </w:pPr>
    </w:p>
    <w:p>
      <w:pPr>
        <w:spacing w:line="360" w:lineRule="auto"/>
        <w:ind w:left="1276" w:leftChars="-78" w:hanging="1440" w:hangingChars="600"/>
        <w:rPr>
          <w:rFonts w:ascii="宋体"/>
          <w:sz w:val="24"/>
        </w:rPr>
      </w:pPr>
      <w:r>
        <w:rPr>
          <w:rFonts w:hint="eastAsia" w:ascii="宋体"/>
          <w:sz w:val="24"/>
        </w:rPr>
        <w:t xml:space="preserve">            6.2对采购文件的修改，将以电子邮件方式通知已报名的响应人，补充文件将作为采购文件的组成部分，对所有响应人具有同等约束力。</w:t>
      </w:r>
    </w:p>
    <w:p>
      <w:pPr>
        <w:spacing w:line="360" w:lineRule="auto"/>
        <w:ind w:left="1440" w:hanging="1440" w:hangingChars="600"/>
        <w:rPr>
          <w:rFonts w:ascii="宋体"/>
          <w:sz w:val="24"/>
        </w:rPr>
      </w:pPr>
      <w:r>
        <w:rPr>
          <w:rFonts w:hint="eastAsia" w:ascii="宋体"/>
          <w:sz w:val="24"/>
        </w:rPr>
        <w:t xml:space="preserve">           6.3为使响应人有足够的时间按采购文件的修改要求修正论证文件，采购人可</w:t>
      </w:r>
    </w:p>
    <w:p>
      <w:pPr>
        <w:spacing w:line="360" w:lineRule="auto"/>
        <w:ind w:left="1437" w:leftChars="627" w:hanging="120" w:hangingChars="50"/>
        <w:rPr>
          <w:rFonts w:ascii="宋体"/>
          <w:sz w:val="24"/>
        </w:rPr>
      </w:pPr>
      <w:r>
        <w:rPr>
          <w:rFonts w:hint="eastAsia" w:ascii="宋体"/>
          <w:sz w:val="24"/>
        </w:rPr>
        <w:t>酌情推迟论证的截止日期，并将此变更通知已报名的每一响应人。</w:t>
      </w:r>
    </w:p>
    <w:p>
      <w:pPr>
        <w:pStyle w:val="37"/>
        <w:ind w:left="960" w:leftChars="0" w:hanging="960" w:hangingChars="400"/>
        <w:rPr>
          <w:rFonts w:ascii="宋体"/>
          <w:sz w:val="24"/>
        </w:rPr>
      </w:pPr>
    </w:p>
    <w:p>
      <w:pPr>
        <w:pStyle w:val="37"/>
        <w:ind w:left="1205" w:leftChars="0" w:hanging="1205" w:hangingChars="400"/>
        <w:jc w:val="center"/>
        <w:rPr>
          <w:rFonts w:ascii="宋体"/>
          <w:b/>
          <w:bCs/>
          <w:sz w:val="30"/>
          <w:szCs w:val="30"/>
        </w:rPr>
      </w:pPr>
      <w:r>
        <w:rPr>
          <w:rFonts w:hint="eastAsia" w:ascii="宋体"/>
          <w:b/>
          <w:bCs/>
          <w:sz w:val="30"/>
          <w:szCs w:val="30"/>
        </w:rPr>
        <w:t>C响应文件</w:t>
      </w:r>
    </w:p>
    <w:p>
      <w:pPr>
        <w:pStyle w:val="37"/>
        <w:numPr>
          <w:ilvl w:val="0"/>
          <w:numId w:val="3"/>
        </w:numPr>
        <w:ind w:firstLine="480"/>
        <w:rPr>
          <w:rFonts w:ascii="宋体"/>
          <w:sz w:val="24"/>
        </w:rPr>
      </w:pPr>
      <w:r>
        <w:rPr>
          <w:rFonts w:hint="eastAsia" w:ascii="宋体"/>
          <w:sz w:val="24"/>
        </w:rPr>
        <w:t>响应文件的组成</w:t>
      </w:r>
    </w:p>
    <w:p>
      <w:pPr>
        <w:spacing w:line="360" w:lineRule="auto"/>
        <w:ind w:left="1151" w:leftChars="228" w:hanging="672" w:hangingChars="280"/>
        <w:jc w:val="left"/>
        <w:rPr>
          <w:rFonts w:ascii="宋体" w:hAnsi="宋体"/>
          <w:b/>
          <w:bCs/>
          <w:sz w:val="24"/>
          <w:szCs w:val="24"/>
        </w:rPr>
      </w:pPr>
      <w:r>
        <w:rPr>
          <w:rFonts w:hint="eastAsia" w:ascii="宋体"/>
          <w:sz w:val="24"/>
          <w:szCs w:val="24"/>
        </w:rPr>
        <w:t xml:space="preserve">       7.1响应</w:t>
      </w:r>
      <w:r>
        <w:rPr>
          <w:rFonts w:hint="eastAsia" w:ascii="宋体" w:hAnsi="宋体"/>
          <w:bCs/>
          <w:sz w:val="24"/>
          <w:szCs w:val="24"/>
        </w:rPr>
        <w:t>文件由</w:t>
      </w:r>
      <w:r>
        <w:rPr>
          <w:rFonts w:hint="eastAsia" w:ascii="宋体" w:hAnsi="宋体"/>
          <w:bCs/>
          <w:sz w:val="24"/>
          <w:szCs w:val="24"/>
          <w:highlight w:val="yellow"/>
        </w:rPr>
        <w:t>资格</w:t>
      </w:r>
      <w:r>
        <w:rPr>
          <w:rFonts w:ascii="宋体" w:hAnsi="宋体"/>
          <w:bCs/>
          <w:sz w:val="24"/>
          <w:szCs w:val="24"/>
          <w:highlight w:val="yellow"/>
        </w:rPr>
        <w:t>证明文件</w:t>
      </w:r>
      <w:r>
        <w:rPr>
          <w:rFonts w:hint="eastAsia" w:ascii="宋体" w:hAnsi="宋体"/>
          <w:bCs/>
          <w:sz w:val="24"/>
          <w:szCs w:val="24"/>
        </w:rPr>
        <w:t>部分和</w:t>
      </w:r>
      <w:r>
        <w:rPr>
          <w:rFonts w:hint="eastAsia" w:ascii="宋体" w:hAnsi="宋体"/>
          <w:bCs/>
          <w:sz w:val="24"/>
          <w:szCs w:val="24"/>
          <w:highlight w:val="yellow"/>
        </w:rPr>
        <w:t>论证文件</w:t>
      </w:r>
      <w:r>
        <w:rPr>
          <w:rFonts w:hint="eastAsia" w:ascii="宋体" w:hAnsi="宋体"/>
          <w:bCs/>
          <w:sz w:val="24"/>
          <w:szCs w:val="24"/>
        </w:rPr>
        <w:t>部分组成，</w:t>
      </w:r>
      <w:r>
        <w:rPr>
          <w:rFonts w:hint="eastAsia" w:ascii="宋体" w:hAnsi="宋体"/>
          <w:b/>
          <w:bCs/>
          <w:sz w:val="24"/>
          <w:szCs w:val="24"/>
        </w:rPr>
        <w:t>资格</w:t>
      </w:r>
      <w:r>
        <w:rPr>
          <w:rFonts w:ascii="宋体" w:hAnsi="宋体"/>
          <w:b/>
          <w:bCs/>
          <w:sz w:val="24"/>
          <w:szCs w:val="24"/>
        </w:rPr>
        <w:t>证明文件</w:t>
      </w:r>
      <w:r>
        <w:rPr>
          <w:rFonts w:hint="eastAsia" w:ascii="宋体" w:hAnsi="宋体"/>
          <w:b/>
          <w:bCs/>
          <w:sz w:val="24"/>
          <w:szCs w:val="24"/>
        </w:rPr>
        <w:t>即为报名资料应单独成册。</w:t>
      </w:r>
    </w:p>
    <w:p>
      <w:pPr>
        <w:pStyle w:val="37"/>
        <w:ind w:firstLine="840" w:firstLineChars="350"/>
        <w:rPr>
          <w:rFonts w:ascii="宋体" w:hAnsi="宋体"/>
          <w:sz w:val="24"/>
        </w:rPr>
      </w:pPr>
      <w:r>
        <w:rPr>
          <w:rFonts w:hint="eastAsia" w:ascii="宋体" w:hAnsi="宋体"/>
          <w:sz w:val="24"/>
        </w:rPr>
        <w:t>7.2响应人对采购人做出的澄清文件均属于响应文件的组成部分。</w:t>
      </w:r>
    </w:p>
    <w:p>
      <w:pPr>
        <w:pStyle w:val="37"/>
        <w:numPr>
          <w:ilvl w:val="0"/>
          <w:numId w:val="3"/>
        </w:numPr>
        <w:ind w:firstLine="480"/>
        <w:rPr>
          <w:rFonts w:ascii="宋体" w:hAnsi="宋体"/>
          <w:sz w:val="24"/>
        </w:rPr>
      </w:pPr>
      <w:r>
        <w:rPr>
          <w:rFonts w:hint="eastAsia" w:ascii="宋体" w:hAnsi="宋体"/>
          <w:sz w:val="24"/>
        </w:rPr>
        <w:t>响应文件的编制</w:t>
      </w:r>
    </w:p>
    <w:p>
      <w:pPr>
        <w:pStyle w:val="37"/>
        <w:ind w:left="1320" w:leftChars="400" w:hanging="480" w:hangingChars="200"/>
        <w:rPr>
          <w:rFonts w:ascii="宋体" w:hAnsi="宋体"/>
          <w:b/>
          <w:bCs/>
          <w:sz w:val="24"/>
          <w:highlight w:val="yellow"/>
        </w:rPr>
      </w:pPr>
      <w:r>
        <w:rPr>
          <w:rFonts w:hint="eastAsia" w:ascii="宋体" w:hAnsi="宋体"/>
          <w:sz w:val="24"/>
        </w:rPr>
        <w:t xml:space="preserve">    8.1</w:t>
      </w:r>
      <w:r>
        <w:rPr>
          <w:rFonts w:hint="eastAsia" w:ascii="宋体" w:hAnsi="宋体"/>
          <w:sz w:val="24"/>
          <w:highlight w:val="yellow"/>
        </w:rPr>
        <w:t>资格证明文件部分即报名资料</w:t>
      </w:r>
      <w:r>
        <w:rPr>
          <w:rFonts w:hint="eastAsia" w:ascii="宋体" w:hAnsi="宋体"/>
          <w:b/>
          <w:bCs/>
          <w:sz w:val="24"/>
          <w:highlight w:val="yellow"/>
        </w:rPr>
        <w:t>（应包括以下内容，且按下列顺序编制，单独</w:t>
      </w:r>
      <w:r>
        <w:rPr>
          <w:rFonts w:ascii="宋体" w:hAnsi="宋体"/>
          <w:b/>
          <w:bCs/>
          <w:sz w:val="24"/>
          <w:highlight w:val="yellow"/>
        </w:rPr>
        <w:t>成册</w:t>
      </w:r>
      <w:r>
        <w:rPr>
          <w:rFonts w:hint="eastAsia" w:ascii="宋体" w:hAnsi="宋体"/>
          <w:b/>
          <w:bCs/>
          <w:sz w:val="24"/>
          <w:highlight w:val="yellow"/>
        </w:rPr>
        <w:t>）</w:t>
      </w:r>
    </w:p>
    <w:p>
      <w:pPr>
        <w:pStyle w:val="37"/>
        <w:numPr>
          <w:ilvl w:val="0"/>
          <w:numId w:val="5"/>
        </w:numPr>
        <w:ind w:leftChars="0" w:firstLineChars="0"/>
        <w:jc w:val="right"/>
        <w:rPr>
          <w:rFonts w:ascii="宋体"/>
          <w:b/>
          <w:sz w:val="24"/>
        </w:rPr>
      </w:pPr>
      <w:r>
        <w:rPr>
          <w:rFonts w:hint="eastAsia" w:ascii="宋体"/>
          <w:b/>
          <w:sz w:val="24"/>
        </w:rPr>
        <w:t>法定代表人（负责</w:t>
      </w:r>
      <w:r>
        <w:rPr>
          <w:rFonts w:ascii="宋体"/>
          <w:b/>
          <w:sz w:val="24"/>
        </w:rPr>
        <w:t>人</w:t>
      </w:r>
      <w:r>
        <w:rPr>
          <w:rFonts w:hint="eastAsia" w:ascii="宋体"/>
          <w:b/>
          <w:sz w:val="24"/>
        </w:rPr>
        <w:t xml:space="preserve">）授权书（响应人代表不是法定代表人时须提供）（格式见第四部分附件一） </w:t>
      </w:r>
    </w:p>
    <w:p>
      <w:pPr>
        <w:pStyle w:val="37"/>
        <w:numPr>
          <w:ilvl w:val="0"/>
          <w:numId w:val="5"/>
        </w:numPr>
        <w:ind w:leftChars="0" w:firstLineChars="0"/>
      </w:pPr>
      <w:r>
        <w:rPr>
          <w:rFonts w:hint="eastAsia" w:ascii="宋体" w:hAnsi="宋体"/>
          <w:b/>
          <w:bCs/>
          <w:sz w:val="24"/>
        </w:rPr>
        <w:t>响应人</w:t>
      </w:r>
      <w:r>
        <w:rPr>
          <w:rFonts w:hint="eastAsia" w:ascii="宋体" w:hAnsi="宋体"/>
          <w:b/>
          <w:sz w:val="24"/>
        </w:rPr>
        <w:t>有效的营业执照及税务登记证或</w:t>
      </w:r>
      <w:r>
        <w:rPr>
          <w:rFonts w:hint="eastAsia" w:ascii="宋体"/>
          <w:b/>
          <w:sz w:val="24"/>
        </w:rPr>
        <w:t>加载</w:t>
      </w:r>
      <w:r>
        <w:rPr>
          <w:rFonts w:ascii="宋体"/>
          <w:b/>
          <w:sz w:val="24"/>
        </w:rPr>
        <w:t>“统一</w:t>
      </w:r>
      <w:r>
        <w:rPr>
          <w:rFonts w:hint="eastAsia" w:ascii="宋体"/>
          <w:b/>
          <w:sz w:val="24"/>
        </w:rPr>
        <w:t>社会</w:t>
      </w:r>
      <w:r>
        <w:rPr>
          <w:rFonts w:ascii="宋体"/>
          <w:b/>
          <w:sz w:val="24"/>
        </w:rPr>
        <w:t>信用代码”</w:t>
      </w:r>
      <w:r>
        <w:rPr>
          <w:rFonts w:hint="eastAsia" w:ascii="宋体"/>
          <w:b/>
          <w:sz w:val="24"/>
        </w:rPr>
        <w:t>新版营业执照（</w:t>
      </w:r>
      <w:r>
        <w:rPr>
          <w:rFonts w:hint="eastAsia" w:ascii="宋体" w:hAnsi="宋体"/>
          <w:b/>
          <w:sz w:val="24"/>
        </w:rPr>
        <w:t>如为</w:t>
      </w:r>
      <w:r>
        <w:rPr>
          <w:rFonts w:ascii="宋体" w:hAnsi="宋体"/>
          <w:b/>
          <w:sz w:val="24"/>
        </w:rPr>
        <w:t>事业单位或</w:t>
      </w:r>
      <w:r>
        <w:rPr>
          <w:rFonts w:hint="eastAsia" w:ascii="宋体" w:hAnsi="宋体"/>
          <w:b/>
          <w:sz w:val="24"/>
        </w:rPr>
        <w:t>社会</w:t>
      </w:r>
      <w:r>
        <w:rPr>
          <w:rFonts w:ascii="宋体" w:hAnsi="宋体"/>
          <w:b/>
          <w:sz w:val="24"/>
        </w:rPr>
        <w:t>团体或其他组织，可提供</w:t>
      </w:r>
      <w:r>
        <w:rPr>
          <w:rFonts w:hint="eastAsia" w:ascii="宋体" w:hAnsi="宋体"/>
          <w:b/>
          <w:sz w:val="24"/>
        </w:rPr>
        <w:t>事业</w:t>
      </w:r>
      <w:r>
        <w:rPr>
          <w:rFonts w:ascii="宋体" w:hAnsi="宋体"/>
          <w:b/>
          <w:sz w:val="24"/>
        </w:rPr>
        <w:t>单位法人证书</w:t>
      </w:r>
      <w:r>
        <w:rPr>
          <w:rFonts w:hint="eastAsia" w:ascii="宋体" w:hAnsi="宋体"/>
          <w:b/>
          <w:sz w:val="24"/>
        </w:rPr>
        <w:t>或社会</w:t>
      </w:r>
      <w:r>
        <w:rPr>
          <w:rFonts w:ascii="宋体" w:hAnsi="宋体"/>
          <w:b/>
          <w:sz w:val="24"/>
        </w:rPr>
        <w:t>团体法人登记证书或其他</w:t>
      </w:r>
      <w:r>
        <w:rPr>
          <w:rFonts w:hint="eastAsia" w:ascii="宋体" w:hAnsi="宋体"/>
          <w:b/>
          <w:sz w:val="24"/>
        </w:rPr>
        <w:t>同等</w:t>
      </w:r>
      <w:r>
        <w:rPr>
          <w:rFonts w:ascii="宋体" w:hAnsi="宋体"/>
          <w:b/>
          <w:sz w:val="24"/>
        </w:rPr>
        <w:t>效力的合法证明文件，</w:t>
      </w:r>
      <w:r>
        <w:rPr>
          <w:rFonts w:hint="eastAsia" w:ascii="宋体" w:hAnsi="宋体"/>
          <w:b/>
          <w:sz w:val="24"/>
        </w:rPr>
        <w:t>复印件加盖响应人公章</w:t>
      </w:r>
      <w:r>
        <w:rPr>
          <w:rFonts w:hint="eastAsia" w:ascii="宋体" w:hAnsi="宋体"/>
          <w:b/>
          <w:bCs/>
          <w:sz w:val="24"/>
        </w:rPr>
        <w:t>）</w:t>
      </w:r>
      <w:r>
        <w:rPr>
          <w:rFonts w:hint="eastAsia" w:ascii="宋体"/>
          <w:b/>
          <w:sz w:val="24"/>
        </w:rPr>
        <w:t>；</w:t>
      </w:r>
    </w:p>
    <w:p>
      <w:pPr>
        <w:numPr>
          <w:ilvl w:val="0"/>
          <w:numId w:val="5"/>
        </w:numPr>
        <w:tabs>
          <w:tab w:val="left" w:pos="993"/>
        </w:tabs>
        <w:spacing w:line="360" w:lineRule="auto"/>
        <w:jc w:val="right"/>
        <w:rPr>
          <w:rFonts w:ascii="宋体"/>
          <w:b/>
          <w:color w:val="FF0000"/>
          <w:sz w:val="24"/>
        </w:rPr>
      </w:pPr>
      <w:r>
        <w:rPr>
          <w:rFonts w:hint="eastAsia" w:ascii="宋体"/>
          <w:b/>
          <w:color w:val="FF0000"/>
          <w:sz w:val="24"/>
        </w:rPr>
        <w:t>响应人所提供服务的服务商为中小企业</w:t>
      </w:r>
      <w:r>
        <w:rPr>
          <w:rFonts w:hint="eastAsia" w:ascii="宋体"/>
          <w:b/>
          <w:color w:val="FF0000"/>
          <w:sz w:val="24"/>
          <w:lang w:eastAsia="zh-CN"/>
        </w:rPr>
        <w:t>的</w:t>
      </w:r>
      <w:r>
        <w:rPr>
          <w:rFonts w:hint="eastAsia" w:ascii="宋体"/>
          <w:b/>
          <w:color w:val="FF0000"/>
          <w:sz w:val="24"/>
        </w:rPr>
        <w:t>。响应人提供中小企业声明函。（格式见第四部分附件二）</w:t>
      </w:r>
    </w:p>
    <w:p>
      <w:pPr>
        <w:pStyle w:val="37"/>
        <w:numPr>
          <w:ilvl w:val="0"/>
          <w:numId w:val="5"/>
        </w:numPr>
        <w:ind w:leftChars="0" w:firstLineChars="0"/>
        <w:rPr>
          <w:rFonts w:ascii="宋体"/>
          <w:b/>
          <w:sz w:val="24"/>
        </w:rPr>
      </w:pPr>
      <w:r>
        <w:rPr>
          <w:rFonts w:hint="eastAsia" w:ascii="宋体"/>
          <w:b/>
          <w:sz w:val="24"/>
        </w:rPr>
        <w:t>响应人投标截止时间前6个月内任意一次缴纳税收的凭证复印件（缴纳凭证复印件须清晰可辨，并能显示出税种，单位代扣代缴的个人所得税不能作为单位纳税的凭证；依法免税的响应人，应提供相应文件证明其依法免税）；</w:t>
      </w:r>
    </w:p>
    <w:p>
      <w:pPr>
        <w:pStyle w:val="37"/>
        <w:numPr>
          <w:ilvl w:val="0"/>
          <w:numId w:val="5"/>
        </w:numPr>
        <w:ind w:leftChars="0" w:firstLineChars="0"/>
        <w:rPr>
          <w:rFonts w:ascii="宋体"/>
          <w:b/>
          <w:sz w:val="24"/>
        </w:rPr>
      </w:pPr>
      <w:r>
        <w:rPr>
          <w:rFonts w:hint="eastAsia" w:ascii="宋体"/>
          <w:b/>
          <w:sz w:val="24"/>
        </w:rPr>
        <w:t>响应人投标截止时间前6个月内任意一次缴纳社会保障资金的凭证复印件（缴纳凭证复印件须清晰可辨，并能显示出社保资金种类；依法不需缴纳社会保障资金的响应人，应提供相应文件证明其依法不需缴纳社会保障资金）；</w:t>
      </w:r>
    </w:p>
    <w:p>
      <w:pPr>
        <w:pStyle w:val="37"/>
        <w:numPr>
          <w:ilvl w:val="0"/>
          <w:numId w:val="5"/>
        </w:numPr>
        <w:ind w:leftChars="0" w:firstLineChars="0"/>
        <w:rPr>
          <w:rFonts w:ascii="宋体" w:hAnsi="宋体" w:cs="宋体"/>
          <w:b/>
          <w:bCs/>
          <w:color w:val="000000"/>
          <w:sz w:val="24"/>
          <w:shd w:val="clear" w:color="auto" w:fill="FFFFFF"/>
        </w:rPr>
      </w:pPr>
      <w:r>
        <w:rPr>
          <w:rFonts w:hint="eastAsia" w:ascii="宋体" w:hAnsi="宋体" w:cs="宋体"/>
          <w:b/>
          <w:bCs/>
          <w:color w:val="000000"/>
          <w:sz w:val="24"/>
          <w:shd w:val="clear" w:color="auto" w:fill="FFFFFF"/>
        </w:rPr>
        <w:t>信用中国网，中国政府采购网失信被执行人、重大税收违法、严重违法失信行为查询记录截图。</w:t>
      </w:r>
    </w:p>
    <w:p>
      <w:pPr>
        <w:pStyle w:val="37"/>
        <w:numPr>
          <w:ilvl w:val="0"/>
          <w:numId w:val="5"/>
        </w:numPr>
        <w:ind w:leftChars="0" w:firstLineChars="0"/>
        <w:rPr>
          <w:rFonts w:ascii="宋体"/>
          <w:b/>
          <w:sz w:val="24"/>
        </w:rPr>
      </w:pPr>
      <w:r>
        <w:rPr>
          <w:rFonts w:hint="eastAsia" w:ascii="宋体"/>
          <w:b/>
          <w:sz w:val="24"/>
        </w:rPr>
        <w:t>响应人前三年内参加政府采购活动，无重大违法经营记录的承诺函（加盖响应人公章）；</w:t>
      </w:r>
    </w:p>
    <w:p>
      <w:pPr>
        <w:pStyle w:val="37"/>
        <w:numPr>
          <w:ilvl w:val="0"/>
          <w:numId w:val="5"/>
        </w:numPr>
        <w:ind w:leftChars="0" w:firstLineChars="0"/>
        <w:rPr>
          <w:rFonts w:ascii="宋体"/>
          <w:b/>
          <w:sz w:val="24"/>
        </w:rPr>
      </w:pPr>
      <w:r>
        <w:rPr>
          <w:rFonts w:hint="eastAsia" w:ascii="宋体"/>
          <w:b/>
          <w:sz w:val="24"/>
        </w:rPr>
        <w:t>采购文件要求的其他资质文件。</w:t>
      </w:r>
    </w:p>
    <w:p>
      <w:pPr>
        <w:pStyle w:val="37"/>
        <w:ind w:firstLine="482"/>
        <w:rPr>
          <w:rFonts w:ascii="宋体"/>
          <w:b/>
          <w:sz w:val="24"/>
        </w:rPr>
      </w:pPr>
      <w:r>
        <w:rPr>
          <w:rFonts w:hint="eastAsia" w:ascii="宋体"/>
          <w:b/>
          <w:sz w:val="24"/>
        </w:rPr>
        <w:t xml:space="preserve">   8.2</w:t>
      </w:r>
      <w:r>
        <w:rPr>
          <w:rFonts w:hint="eastAsia" w:ascii="宋体"/>
          <w:b/>
          <w:sz w:val="24"/>
          <w:highlight w:val="yellow"/>
        </w:rPr>
        <w:t>论证文件编制</w:t>
      </w:r>
      <w:r>
        <w:rPr>
          <w:rFonts w:hint="eastAsia" w:ascii="宋体" w:hAnsi="宋体"/>
          <w:b/>
          <w:bCs/>
          <w:sz w:val="24"/>
          <w:highlight w:val="yellow"/>
        </w:rPr>
        <w:t>（应包括以下内容，且按下列顺序编制）</w:t>
      </w:r>
    </w:p>
    <w:p>
      <w:pPr>
        <w:pStyle w:val="37"/>
        <w:numPr>
          <w:ilvl w:val="0"/>
          <w:numId w:val="6"/>
        </w:numPr>
        <w:ind w:leftChars="0" w:firstLineChars="0"/>
        <w:rPr>
          <w:rFonts w:ascii="宋体"/>
          <w:b/>
          <w:sz w:val="24"/>
        </w:rPr>
      </w:pPr>
      <w:r>
        <w:rPr>
          <w:rFonts w:hint="eastAsia" w:ascii="宋体"/>
          <w:b/>
          <w:sz w:val="24"/>
        </w:rPr>
        <w:t>资格证明文件即报名资料所有内容</w:t>
      </w:r>
    </w:p>
    <w:p>
      <w:pPr>
        <w:pStyle w:val="37"/>
        <w:numPr>
          <w:ilvl w:val="0"/>
          <w:numId w:val="6"/>
        </w:numPr>
        <w:ind w:leftChars="0" w:firstLineChars="0"/>
        <w:rPr>
          <w:rFonts w:ascii="宋体"/>
          <w:b/>
          <w:sz w:val="24"/>
        </w:rPr>
      </w:pPr>
      <w:r>
        <w:rPr>
          <w:rFonts w:hint="eastAsia" w:ascii="宋体"/>
          <w:b/>
          <w:sz w:val="24"/>
        </w:rPr>
        <w:t>报价函（格式见第四部分附件三）</w:t>
      </w:r>
    </w:p>
    <w:p>
      <w:pPr>
        <w:pStyle w:val="37"/>
        <w:numPr>
          <w:ilvl w:val="0"/>
          <w:numId w:val="6"/>
        </w:numPr>
        <w:ind w:leftChars="0" w:firstLineChars="0"/>
        <w:rPr>
          <w:rFonts w:ascii="宋体"/>
          <w:b/>
          <w:sz w:val="24"/>
        </w:rPr>
      </w:pPr>
      <w:r>
        <w:rPr>
          <w:rFonts w:hint="eastAsia" w:ascii="宋体"/>
          <w:b/>
          <w:sz w:val="24"/>
        </w:rPr>
        <w:t>报价一览表（格式见第四部分附件四）</w:t>
      </w:r>
    </w:p>
    <w:p>
      <w:pPr>
        <w:pStyle w:val="37"/>
        <w:numPr>
          <w:ilvl w:val="0"/>
          <w:numId w:val="6"/>
        </w:numPr>
        <w:ind w:leftChars="0" w:firstLineChars="0"/>
        <w:rPr>
          <w:rFonts w:ascii="宋体"/>
          <w:b/>
          <w:sz w:val="24"/>
        </w:rPr>
      </w:pPr>
      <w:r>
        <w:rPr>
          <w:rFonts w:hint="eastAsia" w:ascii="宋体"/>
          <w:b/>
          <w:sz w:val="24"/>
        </w:rPr>
        <w:t>关于资格的声明函（格式见第四部分附件五）</w:t>
      </w:r>
    </w:p>
    <w:p>
      <w:pPr>
        <w:pStyle w:val="37"/>
        <w:numPr>
          <w:ilvl w:val="0"/>
          <w:numId w:val="6"/>
        </w:numPr>
        <w:ind w:leftChars="0" w:firstLineChars="0"/>
        <w:rPr>
          <w:rFonts w:ascii="宋体"/>
          <w:b/>
          <w:sz w:val="24"/>
        </w:rPr>
      </w:pPr>
      <w:r>
        <w:rPr>
          <w:rFonts w:hint="eastAsia" w:ascii="宋体"/>
          <w:b/>
          <w:sz w:val="24"/>
        </w:rPr>
        <w:t>响应人单位情况表（格式见第四部分附件六）</w:t>
      </w:r>
    </w:p>
    <w:p>
      <w:pPr>
        <w:pStyle w:val="37"/>
        <w:numPr>
          <w:ilvl w:val="0"/>
          <w:numId w:val="6"/>
        </w:numPr>
        <w:ind w:leftChars="0" w:firstLineChars="0"/>
        <w:rPr>
          <w:rFonts w:ascii="宋体"/>
          <w:b/>
          <w:sz w:val="24"/>
        </w:rPr>
      </w:pPr>
      <w:r>
        <w:rPr>
          <w:rFonts w:hint="eastAsia" w:ascii="宋体"/>
          <w:b/>
          <w:sz w:val="24"/>
        </w:rPr>
        <w:t>项目服务人员情况表（格式见第四部分附件七）</w:t>
      </w:r>
    </w:p>
    <w:p>
      <w:pPr>
        <w:pStyle w:val="37"/>
        <w:numPr>
          <w:ilvl w:val="0"/>
          <w:numId w:val="6"/>
        </w:numPr>
        <w:ind w:leftChars="0" w:firstLineChars="0"/>
        <w:rPr>
          <w:rFonts w:ascii="宋体"/>
          <w:b/>
          <w:sz w:val="24"/>
        </w:rPr>
      </w:pPr>
      <w:r>
        <w:rPr>
          <w:rFonts w:hint="eastAsia" w:ascii="宋体"/>
          <w:b/>
          <w:sz w:val="24"/>
        </w:rPr>
        <w:t>合同条款承诺函（格式见第四部分附件八）</w:t>
      </w:r>
    </w:p>
    <w:p>
      <w:pPr>
        <w:pStyle w:val="37"/>
        <w:numPr>
          <w:ilvl w:val="0"/>
          <w:numId w:val="6"/>
        </w:numPr>
        <w:ind w:leftChars="0" w:firstLineChars="0"/>
        <w:rPr>
          <w:rFonts w:ascii="宋体"/>
          <w:b/>
          <w:sz w:val="24"/>
        </w:rPr>
      </w:pPr>
      <w:r>
        <w:rPr>
          <w:rFonts w:hint="eastAsia" w:ascii="宋体"/>
          <w:b/>
          <w:sz w:val="24"/>
        </w:rPr>
        <w:t>采购文件要求提供的主要业绩清单及相关证明文件</w:t>
      </w:r>
    </w:p>
    <w:p>
      <w:pPr>
        <w:pStyle w:val="37"/>
        <w:numPr>
          <w:ilvl w:val="0"/>
          <w:numId w:val="6"/>
        </w:numPr>
        <w:ind w:leftChars="0" w:firstLineChars="0"/>
        <w:rPr>
          <w:rFonts w:ascii="宋体"/>
          <w:b/>
          <w:sz w:val="24"/>
        </w:rPr>
      </w:pPr>
      <w:r>
        <w:rPr>
          <w:rFonts w:hint="eastAsia" w:ascii="宋体"/>
          <w:b/>
          <w:sz w:val="24"/>
        </w:rPr>
        <w:t>服务条款应答表（格式见第四部分附件九）</w:t>
      </w:r>
    </w:p>
    <w:p>
      <w:pPr>
        <w:pStyle w:val="37"/>
        <w:numPr>
          <w:ilvl w:val="0"/>
          <w:numId w:val="6"/>
        </w:numPr>
        <w:ind w:leftChars="0" w:firstLineChars="0"/>
        <w:rPr>
          <w:rFonts w:ascii="宋体"/>
          <w:b/>
          <w:sz w:val="24"/>
        </w:rPr>
      </w:pPr>
      <w:r>
        <w:rPr>
          <w:rFonts w:hint="eastAsia" w:ascii="宋体"/>
          <w:b/>
          <w:sz w:val="24"/>
          <w:lang w:eastAsia="zh-CN"/>
        </w:rPr>
        <w:t>服务</w:t>
      </w:r>
      <w:r>
        <w:rPr>
          <w:rFonts w:hint="eastAsia" w:ascii="宋体"/>
          <w:b/>
          <w:sz w:val="24"/>
        </w:rPr>
        <w:t>方案</w:t>
      </w:r>
    </w:p>
    <w:p>
      <w:pPr>
        <w:pStyle w:val="37"/>
        <w:numPr>
          <w:ilvl w:val="0"/>
          <w:numId w:val="6"/>
        </w:numPr>
        <w:ind w:leftChars="0" w:firstLineChars="0"/>
        <w:rPr>
          <w:rFonts w:ascii="宋体"/>
          <w:b/>
          <w:sz w:val="24"/>
        </w:rPr>
      </w:pPr>
      <w:r>
        <w:rPr>
          <w:rFonts w:hint="eastAsia" w:ascii="宋体"/>
          <w:b/>
          <w:sz w:val="24"/>
        </w:rPr>
        <w:t>响应人认为其他需要说明或提供的文件</w:t>
      </w:r>
    </w:p>
    <w:p>
      <w:pPr>
        <w:pStyle w:val="37"/>
        <w:numPr>
          <w:ilvl w:val="0"/>
          <w:numId w:val="3"/>
        </w:numPr>
        <w:ind w:firstLine="480"/>
        <w:rPr>
          <w:rFonts w:ascii="宋体"/>
          <w:bCs/>
          <w:sz w:val="24"/>
        </w:rPr>
      </w:pPr>
      <w:r>
        <w:rPr>
          <w:rFonts w:hint="eastAsia" w:ascii="宋体"/>
          <w:bCs/>
          <w:sz w:val="24"/>
        </w:rPr>
        <w:t>论证报价</w:t>
      </w:r>
    </w:p>
    <w:p>
      <w:pPr>
        <w:spacing w:line="360" w:lineRule="auto"/>
        <w:ind w:left="1440" w:hanging="1440" w:hangingChars="600"/>
        <w:rPr>
          <w:rFonts w:ascii="宋体"/>
          <w:sz w:val="24"/>
        </w:rPr>
      </w:pPr>
      <w:r>
        <w:rPr>
          <w:rFonts w:hint="eastAsia" w:ascii="宋体"/>
          <w:sz w:val="24"/>
        </w:rPr>
        <w:t xml:space="preserve">          9.1论证报价为完成本项目服务要求的各项费用，包括服务及税费等相关费用。</w:t>
      </w:r>
    </w:p>
    <w:p>
      <w:pPr>
        <w:spacing w:line="360" w:lineRule="auto"/>
        <w:ind w:left="1437" w:leftChars="627" w:hanging="120" w:hangingChars="50"/>
        <w:rPr>
          <w:rFonts w:ascii="宋体"/>
          <w:sz w:val="24"/>
        </w:rPr>
      </w:pPr>
      <w:r>
        <w:rPr>
          <w:rFonts w:hint="eastAsia" w:ascii="宋体"/>
          <w:sz w:val="24"/>
        </w:rPr>
        <w:t>9.2所有项目均以人民币报价。</w:t>
      </w:r>
    </w:p>
    <w:p>
      <w:pPr>
        <w:spacing w:line="360" w:lineRule="auto"/>
        <w:ind w:left="1437" w:leftChars="627" w:hanging="120" w:hangingChars="50"/>
        <w:rPr>
          <w:rFonts w:ascii="宋体"/>
          <w:sz w:val="24"/>
        </w:rPr>
      </w:pPr>
      <w:r>
        <w:rPr>
          <w:rFonts w:hint="eastAsia" w:ascii="宋体"/>
          <w:sz w:val="24"/>
        </w:rPr>
        <w:t>9.3响应人要按需求文件报价一览表（统一格式）的内容填写，并由法人代表</w:t>
      </w:r>
    </w:p>
    <w:p>
      <w:pPr>
        <w:spacing w:line="360" w:lineRule="auto"/>
        <w:ind w:left="1437" w:leftChars="627" w:hanging="120" w:hangingChars="50"/>
        <w:rPr>
          <w:rFonts w:ascii="宋体"/>
          <w:sz w:val="24"/>
        </w:rPr>
      </w:pPr>
      <w:r>
        <w:rPr>
          <w:rFonts w:hint="eastAsia" w:ascii="宋体"/>
          <w:sz w:val="24"/>
        </w:rPr>
        <w:t>或授权代表签署。由分项单价计算出的价格应与论证报价一致。</w:t>
      </w:r>
    </w:p>
    <w:p>
      <w:pPr>
        <w:spacing w:line="360" w:lineRule="auto"/>
        <w:ind w:left="1437" w:leftChars="627" w:hanging="120" w:hangingChars="50"/>
        <w:rPr>
          <w:rFonts w:ascii="宋体"/>
          <w:sz w:val="24"/>
        </w:rPr>
      </w:pPr>
      <w:r>
        <w:rPr>
          <w:rFonts w:hint="eastAsia" w:ascii="宋体"/>
          <w:sz w:val="24"/>
        </w:rPr>
        <w:t>9.4投标报价要有竞争性，最低报价不是入选中标供应商的唯一条件。</w:t>
      </w:r>
    </w:p>
    <w:p>
      <w:pPr>
        <w:pStyle w:val="37"/>
        <w:ind w:left="1260" w:leftChars="0" w:firstLine="0" w:firstLineChars="0"/>
        <w:rPr>
          <w:rFonts w:ascii="宋体"/>
          <w:sz w:val="24"/>
        </w:rPr>
      </w:pPr>
    </w:p>
    <w:p>
      <w:pPr>
        <w:pStyle w:val="37"/>
        <w:ind w:left="1260" w:leftChars="0" w:firstLine="0" w:firstLineChars="0"/>
        <w:jc w:val="center"/>
        <w:rPr>
          <w:rFonts w:ascii="宋体"/>
          <w:b/>
          <w:bCs/>
          <w:sz w:val="36"/>
          <w:szCs w:val="36"/>
        </w:rPr>
      </w:pPr>
      <w:r>
        <w:rPr>
          <w:rFonts w:hint="eastAsia" w:ascii="宋体"/>
          <w:b/>
          <w:bCs/>
          <w:sz w:val="36"/>
          <w:szCs w:val="36"/>
        </w:rPr>
        <w:t>D评标</w:t>
      </w:r>
    </w:p>
    <w:p>
      <w:pPr>
        <w:pStyle w:val="37"/>
        <w:numPr>
          <w:ilvl w:val="0"/>
          <w:numId w:val="3"/>
        </w:numPr>
        <w:ind w:firstLine="480"/>
        <w:jc w:val="left"/>
        <w:rPr>
          <w:rFonts w:ascii="宋体"/>
          <w:sz w:val="24"/>
        </w:rPr>
      </w:pPr>
      <w:r>
        <w:rPr>
          <w:rFonts w:hint="eastAsia" w:ascii="宋体"/>
          <w:sz w:val="24"/>
        </w:rPr>
        <w:t>评标</w:t>
      </w:r>
    </w:p>
    <w:p>
      <w:pPr>
        <w:spacing w:line="360" w:lineRule="auto"/>
        <w:ind w:left="1440" w:hanging="1440" w:hangingChars="600"/>
        <w:rPr>
          <w:rFonts w:ascii="宋体"/>
          <w:sz w:val="24"/>
        </w:rPr>
      </w:pPr>
      <w:r>
        <w:rPr>
          <w:rFonts w:hint="eastAsia" w:ascii="宋体"/>
          <w:sz w:val="24"/>
        </w:rPr>
        <w:t xml:space="preserve">           10.1采购人根据项目特点负责组织评标委员会，评标委员会负责对具备实质</w:t>
      </w:r>
    </w:p>
    <w:p>
      <w:pPr>
        <w:spacing w:line="360" w:lineRule="auto"/>
        <w:ind w:left="1437" w:leftChars="627" w:hanging="120" w:hangingChars="50"/>
        <w:rPr>
          <w:rFonts w:ascii="宋体"/>
          <w:sz w:val="24"/>
        </w:rPr>
      </w:pPr>
      <w:r>
        <w:rPr>
          <w:rFonts w:hint="eastAsia" w:ascii="宋体"/>
          <w:sz w:val="24"/>
        </w:rPr>
        <w:t>性响应的论证文件进行评估和比较。</w:t>
      </w:r>
    </w:p>
    <w:p>
      <w:pPr>
        <w:spacing w:line="360" w:lineRule="auto"/>
        <w:ind w:left="1440" w:hanging="1440" w:hangingChars="600"/>
        <w:rPr>
          <w:rFonts w:ascii="宋体"/>
          <w:sz w:val="24"/>
        </w:rPr>
      </w:pPr>
      <w:r>
        <w:rPr>
          <w:rFonts w:hint="eastAsia" w:ascii="宋体"/>
          <w:sz w:val="24"/>
        </w:rPr>
        <w:t xml:space="preserve">           10.2根据国家相关法律法规的相关规定，评标委员会由技术专家、经济专家</w:t>
      </w:r>
    </w:p>
    <w:p>
      <w:pPr>
        <w:pStyle w:val="6"/>
        <w:ind w:left="1275" w:leftChars="607" w:firstLine="0"/>
      </w:pPr>
      <w:r>
        <w:rPr>
          <w:rFonts w:hint="eastAsia" w:ascii="宋体"/>
          <w:sz w:val="24"/>
        </w:rPr>
        <w:t>等组成。</w:t>
      </w:r>
    </w:p>
    <w:p>
      <w:pPr>
        <w:spacing w:line="360" w:lineRule="auto"/>
        <w:ind w:left="1437" w:leftChars="627" w:hanging="120" w:hangingChars="50"/>
        <w:rPr>
          <w:rFonts w:ascii="宋体"/>
          <w:sz w:val="24"/>
        </w:rPr>
      </w:pPr>
      <w:r>
        <w:rPr>
          <w:rFonts w:hint="eastAsia" w:ascii="宋体"/>
          <w:sz w:val="24"/>
        </w:rPr>
        <w:t>10.3评标原则及办法</w:t>
      </w:r>
    </w:p>
    <w:p>
      <w:pPr>
        <w:spacing w:line="360" w:lineRule="auto"/>
        <w:ind w:left="1440" w:hanging="1440" w:hangingChars="600"/>
        <w:rPr>
          <w:rFonts w:ascii="宋体"/>
          <w:sz w:val="24"/>
        </w:rPr>
      </w:pPr>
      <w:r>
        <w:rPr>
          <w:rFonts w:hint="eastAsia" w:ascii="宋体"/>
          <w:sz w:val="24"/>
        </w:rPr>
        <w:t xml:space="preserve">           10.3.1对所有响应人的论证文件，都按相同的程序和标准；</w:t>
      </w:r>
    </w:p>
    <w:p>
      <w:pPr>
        <w:spacing w:line="360" w:lineRule="auto"/>
        <w:ind w:left="1440" w:hanging="1440" w:hangingChars="600"/>
        <w:rPr>
          <w:rFonts w:ascii="宋体"/>
          <w:sz w:val="24"/>
        </w:rPr>
      </w:pPr>
      <w:r>
        <w:rPr>
          <w:rFonts w:hint="eastAsia" w:ascii="宋体"/>
          <w:sz w:val="24"/>
        </w:rPr>
        <w:t xml:space="preserve">           10.3.2评标严格按照需求文件的要求和条件进行；</w:t>
      </w:r>
    </w:p>
    <w:p>
      <w:pPr>
        <w:spacing w:line="360" w:lineRule="auto"/>
        <w:ind w:left="1440" w:hanging="1440" w:hangingChars="600"/>
        <w:rPr>
          <w:rFonts w:ascii="宋体"/>
          <w:sz w:val="24"/>
        </w:rPr>
      </w:pPr>
      <w:r>
        <w:rPr>
          <w:rFonts w:hint="eastAsia" w:ascii="宋体"/>
          <w:sz w:val="24"/>
        </w:rPr>
        <w:t xml:space="preserve">           10.3.3评标委员会采用综合比较和分项打分相结合的评标方法，对所有实质</w:t>
      </w:r>
    </w:p>
    <w:p>
      <w:pPr>
        <w:spacing w:line="360" w:lineRule="auto"/>
        <w:ind w:left="1437" w:leftChars="627" w:hanging="120" w:hangingChars="50"/>
        <w:rPr>
          <w:rFonts w:ascii="宋体"/>
          <w:sz w:val="24"/>
        </w:rPr>
      </w:pPr>
      <w:r>
        <w:rPr>
          <w:rFonts w:hint="eastAsia" w:ascii="宋体"/>
          <w:sz w:val="24"/>
        </w:rPr>
        <w:t>性响应的投标进行综合打分、排序，按最终得分由高向低排序，推荐综合得</w:t>
      </w:r>
    </w:p>
    <w:p>
      <w:pPr>
        <w:spacing w:line="360" w:lineRule="auto"/>
        <w:ind w:left="1437" w:leftChars="627" w:hanging="120" w:hangingChars="50"/>
        <w:rPr>
          <w:rFonts w:ascii="宋体"/>
          <w:sz w:val="24"/>
        </w:rPr>
      </w:pPr>
      <w:r>
        <w:rPr>
          <w:rFonts w:hint="eastAsia" w:ascii="宋体"/>
          <w:sz w:val="24"/>
        </w:rPr>
        <w:t>分最高的为中标候选人；</w:t>
      </w:r>
    </w:p>
    <w:p>
      <w:pPr>
        <w:spacing w:line="360" w:lineRule="auto"/>
        <w:ind w:left="1440" w:hanging="1440" w:hangingChars="600"/>
        <w:rPr>
          <w:rFonts w:ascii="宋体"/>
          <w:sz w:val="24"/>
        </w:rPr>
      </w:pPr>
      <w:r>
        <w:rPr>
          <w:rFonts w:hint="eastAsia" w:ascii="宋体"/>
          <w:sz w:val="24"/>
        </w:rPr>
        <w:t xml:space="preserve">           10.3.4评议时按照</w:t>
      </w:r>
      <w:r>
        <w:rPr>
          <w:rFonts w:ascii="宋体"/>
          <w:sz w:val="24"/>
        </w:rPr>
        <w:t>第</w:t>
      </w:r>
      <w:r>
        <w:rPr>
          <w:rFonts w:hint="eastAsia" w:ascii="宋体"/>
          <w:sz w:val="24"/>
        </w:rPr>
        <w:t>五</w:t>
      </w:r>
      <w:r>
        <w:rPr>
          <w:rFonts w:ascii="宋体"/>
          <w:sz w:val="24"/>
        </w:rPr>
        <w:t>部分“</w:t>
      </w:r>
      <w:r>
        <w:rPr>
          <w:rFonts w:hint="eastAsia" w:ascii="宋体"/>
          <w:sz w:val="24"/>
        </w:rPr>
        <w:t>评标</w:t>
      </w:r>
      <w:r>
        <w:rPr>
          <w:rFonts w:ascii="宋体"/>
          <w:sz w:val="24"/>
        </w:rPr>
        <w:t>细则”</w:t>
      </w:r>
      <w:r>
        <w:rPr>
          <w:rFonts w:hint="eastAsia" w:ascii="宋体"/>
          <w:sz w:val="24"/>
        </w:rPr>
        <w:t>对响应人进行综合评定。</w:t>
      </w:r>
    </w:p>
    <w:p>
      <w:pPr>
        <w:pStyle w:val="37"/>
        <w:ind w:left="840" w:leftChars="400" w:firstLine="0" w:firstLineChars="0"/>
        <w:jc w:val="left"/>
        <w:rPr>
          <w:rFonts w:ascii="宋体"/>
          <w:sz w:val="24"/>
        </w:rPr>
      </w:pPr>
    </w:p>
    <w:p>
      <w:pPr>
        <w:pStyle w:val="37"/>
        <w:ind w:left="1260" w:leftChars="0" w:firstLine="0" w:firstLineChars="0"/>
        <w:jc w:val="center"/>
        <w:rPr>
          <w:rFonts w:ascii="宋体"/>
          <w:b/>
          <w:bCs/>
          <w:sz w:val="36"/>
          <w:szCs w:val="36"/>
        </w:rPr>
      </w:pPr>
      <w:r>
        <w:rPr>
          <w:rFonts w:hint="eastAsia" w:ascii="宋体"/>
          <w:b/>
          <w:bCs/>
          <w:sz w:val="36"/>
          <w:szCs w:val="36"/>
        </w:rPr>
        <w:t>E 确定中标供应商候选人</w:t>
      </w:r>
    </w:p>
    <w:p>
      <w:pPr>
        <w:pStyle w:val="37"/>
        <w:ind w:left="0" w:leftChars="0" w:firstLine="1200" w:firstLineChars="500"/>
        <w:rPr>
          <w:rFonts w:ascii="宋体"/>
          <w:sz w:val="24"/>
        </w:rPr>
      </w:pPr>
      <w:r>
        <w:rPr>
          <w:rFonts w:hint="eastAsia" w:ascii="宋体"/>
          <w:sz w:val="24"/>
        </w:rPr>
        <w:t>11.1采购人根据评标委员会推荐的中标供应商候选人，确定</w:t>
      </w:r>
      <w:r>
        <w:rPr>
          <w:rFonts w:ascii="宋体"/>
          <w:sz w:val="24"/>
        </w:rPr>
        <w:t>1</w:t>
      </w:r>
      <w:r>
        <w:rPr>
          <w:rFonts w:hint="eastAsia" w:ascii="宋体"/>
          <w:sz w:val="24"/>
        </w:rPr>
        <w:t>家中标供应商。</w:t>
      </w:r>
    </w:p>
    <w:p>
      <w:pPr>
        <w:pStyle w:val="37"/>
        <w:ind w:left="1197" w:leftChars="570" w:firstLine="0" w:firstLineChars="0"/>
        <w:rPr>
          <w:rFonts w:ascii="宋体"/>
          <w:sz w:val="24"/>
        </w:rPr>
      </w:pPr>
      <w:r>
        <w:rPr>
          <w:rFonts w:hint="eastAsia" w:ascii="宋体"/>
          <w:sz w:val="24"/>
        </w:rPr>
        <w:t>11.2评标结束后，采购人将以邮件方式通知中标供应商，并发放论证结果告知书。</w:t>
      </w:r>
    </w:p>
    <w:p>
      <w:pPr>
        <w:pStyle w:val="37"/>
        <w:ind w:left="0" w:leftChars="0" w:firstLine="1200" w:firstLineChars="500"/>
        <w:rPr>
          <w:rFonts w:ascii="宋体"/>
          <w:sz w:val="24"/>
        </w:rPr>
      </w:pPr>
      <w:r>
        <w:rPr>
          <w:rFonts w:hint="eastAsia" w:ascii="宋体"/>
          <w:sz w:val="24"/>
        </w:rPr>
        <w:t>11.3采购人不对响应人未中标供应商原因做出解释。</w:t>
      </w:r>
    </w:p>
    <w:p>
      <w:pPr>
        <w:pStyle w:val="37"/>
        <w:ind w:left="0" w:leftChars="0" w:firstLine="1200" w:firstLineChars="500"/>
        <w:rPr>
          <w:rFonts w:ascii="宋体"/>
          <w:sz w:val="24"/>
        </w:rPr>
      </w:pPr>
      <w:r>
        <w:rPr>
          <w:rFonts w:hint="eastAsia" w:ascii="宋体"/>
          <w:sz w:val="24"/>
        </w:rPr>
        <w:t>11.4中标供应商应按论证结果告知书中规定的时间与采购人签订合同。</w:t>
      </w:r>
    </w:p>
    <w:p>
      <w:pPr>
        <w:pStyle w:val="37"/>
        <w:ind w:left="1260" w:leftChars="0" w:firstLine="0" w:firstLineChars="0"/>
        <w:rPr>
          <w:rFonts w:ascii="宋体"/>
          <w:sz w:val="24"/>
        </w:rPr>
      </w:pPr>
    </w:p>
    <w:p>
      <w:pPr>
        <w:pStyle w:val="37"/>
        <w:ind w:left="1260" w:leftChars="0" w:firstLine="0" w:firstLineChars="0"/>
        <w:rPr>
          <w:rFonts w:ascii="宋体"/>
          <w:sz w:val="24"/>
        </w:rPr>
      </w:pPr>
    </w:p>
    <w:p>
      <w:pPr>
        <w:pStyle w:val="37"/>
        <w:ind w:left="1260" w:leftChars="0" w:firstLine="0" w:firstLineChars="0"/>
        <w:rPr>
          <w:rFonts w:ascii="宋体"/>
          <w:sz w:val="24"/>
        </w:rPr>
      </w:pPr>
    </w:p>
    <w:p>
      <w:pPr>
        <w:pStyle w:val="37"/>
        <w:ind w:left="1260" w:leftChars="0" w:firstLine="0" w:firstLineChars="0"/>
        <w:rPr>
          <w:rFonts w:ascii="宋体"/>
          <w:sz w:val="24"/>
        </w:rPr>
      </w:pPr>
    </w:p>
    <w:p>
      <w:pPr>
        <w:pStyle w:val="37"/>
        <w:ind w:left="0" w:leftChars="0" w:firstLine="0" w:firstLineChars="0"/>
        <w:rPr>
          <w:rFonts w:ascii="宋体"/>
          <w:sz w:val="24"/>
        </w:rPr>
      </w:pPr>
    </w:p>
    <w:p>
      <w:pPr>
        <w:pStyle w:val="37"/>
        <w:numPr>
          <w:ilvl w:val="0"/>
          <w:numId w:val="1"/>
        </w:numPr>
        <w:ind w:left="0" w:leftChars="0" w:firstLine="0" w:firstLineChars="0"/>
        <w:jc w:val="center"/>
        <w:rPr>
          <w:rFonts w:ascii="宋体"/>
          <w:b/>
          <w:bCs/>
          <w:sz w:val="36"/>
          <w:szCs w:val="36"/>
        </w:rPr>
      </w:pPr>
      <w:r>
        <w:rPr>
          <w:rFonts w:hint="eastAsia" w:ascii="宋体"/>
          <w:b/>
          <w:bCs/>
          <w:sz w:val="36"/>
          <w:szCs w:val="36"/>
        </w:rPr>
        <w:t>服务需求书</w:t>
      </w:r>
    </w:p>
    <w:p>
      <w:pPr>
        <w:pStyle w:val="3"/>
        <w:jc w:val="left"/>
        <w:rPr>
          <w:rFonts w:hAnsi="宋体" w:cs="宋体"/>
          <w:b/>
          <w:bCs/>
          <w:color w:val="000000"/>
          <w:kern w:val="2"/>
          <w:sz w:val="32"/>
          <w:szCs w:val="32"/>
        </w:rPr>
      </w:pPr>
      <w:r>
        <w:rPr>
          <w:rFonts w:hint="eastAsia" w:hAnsi="宋体" w:cs="宋体"/>
          <w:b/>
          <w:bCs/>
          <w:color w:val="000000"/>
          <w:kern w:val="2"/>
          <w:sz w:val="32"/>
          <w:szCs w:val="32"/>
        </w:rPr>
        <w:t>一、项目概述</w:t>
      </w:r>
    </w:p>
    <w:p>
      <w:pPr>
        <w:pStyle w:val="2"/>
        <w:spacing w:line="360" w:lineRule="auto"/>
        <w:ind w:firstLine="480" w:firstLineChars="200"/>
      </w:pPr>
      <w:r>
        <w:rPr>
          <w:rFonts w:hint="eastAsia" w:hAnsi="宋体" w:cs="宋体"/>
          <w:sz w:val="24"/>
        </w:rPr>
        <w:t>随着我院信息业务的不断发展，数据中心的各类设备也越来越多，我院现在的数据中心已经无力再上架更多的设备。为了解决这一困境，在各级领导的关怀下，我们已经对数据中心实现了初步的空间扩容，现在我们需要将新扩容的空间与原有的空间进行统一的设计、装修和整理。此外，根据相关部门的指导意见，我们需要加强对信息机房的检测和监控，降低出现各类安全事件的风险。</w:t>
      </w:r>
    </w:p>
    <w:p>
      <w:pPr>
        <w:pStyle w:val="3"/>
        <w:jc w:val="left"/>
        <w:rPr>
          <w:rFonts w:hAnsi="宋体" w:cs="宋体"/>
          <w:b/>
          <w:bCs/>
          <w:color w:val="000000"/>
          <w:kern w:val="2"/>
          <w:sz w:val="32"/>
          <w:szCs w:val="32"/>
          <w:lang w:val="zh-CN"/>
        </w:rPr>
      </w:pPr>
      <w:r>
        <w:rPr>
          <w:rFonts w:hint="eastAsia" w:hAnsi="宋体" w:cs="宋体"/>
          <w:b/>
          <w:bCs/>
          <w:color w:val="000000"/>
          <w:kern w:val="2"/>
          <w:sz w:val="32"/>
          <w:szCs w:val="32"/>
        </w:rPr>
        <w:t>二、项目需求</w:t>
      </w:r>
    </w:p>
    <w:p>
      <w:pPr>
        <w:pStyle w:val="12"/>
        <w:spacing w:line="360" w:lineRule="auto"/>
        <w:ind w:left="0" w:leftChars="0"/>
        <w:rPr>
          <w:sz w:val="24"/>
          <w:szCs w:val="24"/>
          <w:lang w:val="zh-CN"/>
        </w:rPr>
      </w:pPr>
      <w:r>
        <w:rPr>
          <w:rFonts w:hint="eastAsia"/>
          <w:sz w:val="24"/>
          <w:szCs w:val="24"/>
        </w:rPr>
        <w:t>（一）</w:t>
      </w:r>
      <w:r>
        <w:rPr>
          <w:rFonts w:hint="eastAsia"/>
          <w:sz w:val="24"/>
          <w:szCs w:val="24"/>
          <w:lang w:val="zh-CN"/>
        </w:rPr>
        <w:t>机房装修：需要对原有的</w:t>
      </w:r>
      <w:r>
        <w:rPr>
          <w:rFonts w:hint="eastAsia"/>
          <w:sz w:val="24"/>
          <w:szCs w:val="24"/>
        </w:rPr>
        <w:t>窗口</w:t>
      </w:r>
      <w:r>
        <w:rPr>
          <w:rFonts w:hint="eastAsia"/>
          <w:sz w:val="24"/>
          <w:szCs w:val="24"/>
          <w:lang w:val="zh-CN"/>
        </w:rPr>
        <w:t>、地板、吊顶、灯具、</w:t>
      </w:r>
      <w:r>
        <w:rPr>
          <w:rFonts w:hint="eastAsia"/>
          <w:sz w:val="24"/>
          <w:szCs w:val="24"/>
        </w:rPr>
        <w:t>墙面、</w:t>
      </w:r>
      <w:r>
        <w:rPr>
          <w:rFonts w:hint="eastAsia"/>
          <w:sz w:val="24"/>
          <w:szCs w:val="24"/>
          <w:lang w:val="zh-CN"/>
        </w:rPr>
        <w:t>空调进行</w:t>
      </w:r>
      <w:r>
        <w:rPr>
          <w:rFonts w:hint="eastAsia"/>
          <w:sz w:val="24"/>
          <w:szCs w:val="24"/>
        </w:rPr>
        <w:t>规划、设计和装修</w:t>
      </w:r>
      <w:r>
        <w:rPr>
          <w:rFonts w:hint="eastAsia"/>
          <w:sz w:val="24"/>
          <w:szCs w:val="24"/>
          <w:lang w:val="zh-CN"/>
        </w:rPr>
        <w:t>，</w:t>
      </w:r>
      <w:r>
        <w:rPr>
          <w:rFonts w:hint="eastAsia"/>
          <w:sz w:val="24"/>
          <w:szCs w:val="24"/>
        </w:rPr>
        <w:t>对有安全隐患的老化线路进行拆除和新建。</w:t>
      </w:r>
      <w:r>
        <w:rPr>
          <w:rFonts w:hint="eastAsia"/>
          <w:sz w:val="24"/>
          <w:szCs w:val="24"/>
          <w:lang w:val="zh-CN"/>
        </w:rPr>
        <w:t>同时做好整个机房的弱</w:t>
      </w:r>
      <w:r>
        <w:rPr>
          <w:rFonts w:hint="eastAsia"/>
          <w:sz w:val="24"/>
          <w:szCs w:val="24"/>
        </w:rPr>
        <w:t>电、</w:t>
      </w:r>
      <w:r>
        <w:rPr>
          <w:rFonts w:hint="eastAsia"/>
          <w:sz w:val="24"/>
          <w:szCs w:val="24"/>
          <w:lang w:val="zh-CN"/>
        </w:rPr>
        <w:t>强电线缆铺设；以及其他的机房配套系统等。</w:t>
      </w:r>
    </w:p>
    <w:p>
      <w:pPr>
        <w:pStyle w:val="12"/>
        <w:spacing w:line="360" w:lineRule="auto"/>
        <w:ind w:left="0" w:leftChars="0"/>
        <w:rPr>
          <w:sz w:val="24"/>
          <w:szCs w:val="24"/>
        </w:rPr>
      </w:pPr>
      <w:r>
        <w:rPr>
          <w:rFonts w:hint="eastAsia"/>
          <w:sz w:val="24"/>
          <w:szCs w:val="24"/>
        </w:rPr>
        <w:t>（二）机房环境检测</w:t>
      </w:r>
      <w:r>
        <w:rPr>
          <w:rFonts w:hint="eastAsia"/>
          <w:sz w:val="24"/>
          <w:szCs w:val="24"/>
          <w:lang w:val="zh-CN"/>
        </w:rPr>
        <w:t>：</w:t>
      </w:r>
      <w:r>
        <w:rPr>
          <w:rFonts w:hint="eastAsia"/>
          <w:sz w:val="24"/>
          <w:szCs w:val="24"/>
        </w:rPr>
        <w:t>需要对机房的各个安全参数进行不间断的检测，持续保证机房物理环境安全和业务运行环境安全。</w:t>
      </w:r>
    </w:p>
    <w:p>
      <w:pPr>
        <w:pStyle w:val="12"/>
        <w:spacing w:line="360" w:lineRule="auto"/>
        <w:ind w:left="0" w:leftChars="0"/>
        <w:rPr>
          <w:sz w:val="24"/>
          <w:szCs w:val="24"/>
        </w:rPr>
      </w:pPr>
      <w:r>
        <w:rPr>
          <w:rFonts w:hint="eastAsia"/>
          <w:sz w:val="24"/>
          <w:szCs w:val="24"/>
        </w:rPr>
        <w:t>（三）弱电间整理：需要对医院的几个弱电机房进行整理，包含线缆整理、规划、敷设，原有设备重新上架、调试等</w:t>
      </w:r>
    </w:p>
    <w:p>
      <w:pPr>
        <w:pStyle w:val="2"/>
        <w:rPr>
          <w:rFonts w:hAnsi="宋体" w:cs="宋体"/>
          <w:sz w:val="24"/>
        </w:rPr>
      </w:pPr>
      <w:r>
        <w:rPr>
          <w:rFonts w:hint="eastAsia" w:hAnsi="宋体" w:cs="宋体"/>
          <w:sz w:val="24"/>
        </w:rPr>
        <w:t>（四）本项目完成期：合同签订生效后1</w:t>
      </w:r>
      <w:r>
        <w:rPr>
          <w:rFonts w:hAnsi="宋体" w:cs="宋体"/>
          <w:sz w:val="24"/>
        </w:rPr>
        <w:t>5</w:t>
      </w:r>
      <w:r>
        <w:rPr>
          <w:rFonts w:hint="eastAsia" w:hAnsi="宋体" w:cs="宋体"/>
          <w:sz w:val="24"/>
        </w:rPr>
        <w:t>天内完成。</w:t>
      </w:r>
    </w:p>
    <w:p>
      <w:pPr>
        <w:pStyle w:val="12"/>
        <w:spacing w:line="360" w:lineRule="auto"/>
        <w:ind w:left="0" w:leftChars="0"/>
        <w:rPr>
          <w:sz w:val="24"/>
          <w:szCs w:val="24"/>
        </w:rPr>
      </w:pPr>
    </w:p>
    <w:p>
      <w:pPr>
        <w:pStyle w:val="12"/>
        <w:spacing w:line="360" w:lineRule="auto"/>
        <w:ind w:left="0" w:leftChars="0"/>
        <w:rPr>
          <w:sz w:val="24"/>
          <w:szCs w:val="24"/>
        </w:rPr>
      </w:pPr>
    </w:p>
    <w:p>
      <w:pPr>
        <w:outlineLvl w:val="0"/>
        <w:rPr>
          <w:rFonts w:ascii="宋体" w:hAnsi="宋体" w:cs="宋体"/>
          <w:color w:val="000000"/>
        </w:rPr>
      </w:pPr>
      <w:r>
        <w:rPr>
          <w:rFonts w:hint="eastAsia"/>
        </w:rPr>
        <w:br w:type="page"/>
      </w:r>
      <w:r>
        <w:rPr>
          <w:rFonts w:hint="eastAsia" w:ascii="宋体" w:hAnsi="宋体" w:cs="宋体"/>
          <w:b/>
          <w:bCs/>
          <w:color w:val="000000"/>
          <w:kern w:val="2"/>
          <w:sz w:val="32"/>
          <w:szCs w:val="32"/>
        </w:rPr>
        <w:t>三、项目执行标准</w:t>
      </w:r>
    </w:p>
    <w:p>
      <w:pPr>
        <w:spacing w:line="360" w:lineRule="auto"/>
        <w:rPr>
          <w:color w:val="000000"/>
          <w:sz w:val="24"/>
          <w:szCs w:val="36"/>
        </w:rPr>
      </w:pPr>
      <w:r>
        <w:rPr>
          <w:rFonts w:hint="eastAsia"/>
          <w:color w:val="000000"/>
          <w:sz w:val="24"/>
          <w:szCs w:val="36"/>
        </w:rPr>
        <w:t xml:space="preserve">《数据中心基础设施施工及验收规范》(GB 50462-2015)； </w:t>
      </w:r>
    </w:p>
    <w:p>
      <w:pPr>
        <w:spacing w:line="360" w:lineRule="auto"/>
        <w:rPr>
          <w:color w:val="000000"/>
          <w:sz w:val="24"/>
          <w:szCs w:val="36"/>
        </w:rPr>
      </w:pPr>
      <w:r>
        <w:rPr>
          <w:rFonts w:hint="eastAsia"/>
          <w:color w:val="000000"/>
          <w:sz w:val="24"/>
          <w:szCs w:val="36"/>
        </w:rPr>
        <w:t xml:space="preserve">《防静电活动地板通用规范》(SJ/T 10796-2001)； </w:t>
      </w:r>
    </w:p>
    <w:p>
      <w:pPr>
        <w:spacing w:line="360" w:lineRule="auto"/>
        <w:rPr>
          <w:color w:val="000000"/>
          <w:sz w:val="24"/>
          <w:szCs w:val="36"/>
        </w:rPr>
      </w:pPr>
      <w:r>
        <w:rPr>
          <w:rFonts w:hint="eastAsia"/>
          <w:color w:val="000000"/>
          <w:sz w:val="24"/>
          <w:szCs w:val="36"/>
        </w:rPr>
        <w:t xml:space="preserve">《智能建筑设计标准》(GB/T 50314-2015)； </w:t>
      </w:r>
    </w:p>
    <w:p>
      <w:pPr>
        <w:spacing w:line="360" w:lineRule="auto"/>
        <w:rPr>
          <w:color w:val="000000"/>
          <w:sz w:val="24"/>
          <w:szCs w:val="36"/>
        </w:rPr>
      </w:pPr>
      <w:r>
        <w:rPr>
          <w:rFonts w:hint="eastAsia"/>
          <w:color w:val="000000"/>
          <w:sz w:val="24"/>
          <w:szCs w:val="36"/>
        </w:rPr>
        <w:t xml:space="preserve">《计算机场地安全要求》(GB/T 9361-2011)； </w:t>
      </w:r>
    </w:p>
    <w:p>
      <w:pPr>
        <w:spacing w:line="360" w:lineRule="auto"/>
        <w:rPr>
          <w:color w:val="000000"/>
          <w:sz w:val="24"/>
          <w:szCs w:val="36"/>
        </w:rPr>
      </w:pPr>
      <w:r>
        <w:rPr>
          <w:rFonts w:hint="eastAsia"/>
          <w:color w:val="000000"/>
          <w:sz w:val="24"/>
          <w:szCs w:val="36"/>
        </w:rPr>
        <w:t xml:space="preserve">《气体灭火系统设计规范》(GB 50370-2005)； </w:t>
      </w:r>
    </w:p>
    <w:p>
      <w:pPr>
        <w:spacing w:line="360" w:lineRule="auto"/>
        <w:rPr>
          <w:color w:val="000000"/>
          <w:sz w:val="24"/>
          <w:szCs w:val="36"/>
        </w:rPr>
      </w:pPr>
      <w:r>
        <w:rPr>
          <w:rFonts w:hint="eastAsia"/>
          <w:color w:val="000000"/>
          <w:sz w:val="24"/>
          <w:szCs w:val="36"/>
        </w:rPr>
        <w:t xml:space="preserve">《气体灭火系统施工及验收规范》(GB 50263-2007)； </w:t>
      </w:r>
    </w:p>
    <w:p>
      <w:pPr>
        <w:spacing w:line="360" w:lineRule="auto"/>
        <w:rPr>
          <w:color w:val="000000"/>
          <w:sz w:val="24"/>
          <w:szCs w:val="36"/>
        </w:rPr>
      </w:pPr>
      <w:r>
        <w:rPr>
          <w:rFonts w:hint="eastAsia"/>
          <w:color w:val="000000"/>
          <w:sz w:val="24"/>
          <w:szCs w:val="36"/>
        </w:rPr>
        <w:t xml:space="preserve">《建筑设计防火规范》(GB 50016-2014)； </w:t>
      </w:r>
    </w:p>
    <w:p>
      <w:pPr>
        <w:spacing w:line="360" w:lineRule="auto"/>
        <w:rPr>
          <w:color w:val="000000"/>
          <w:sz w:val="24"/>
          <w:szCs w:val="36"/>
        </w:rPr>
      </w:pPr>
      <w:r>
        <w:rPr>
          <w:rFonts w:hint="eastAsia"/>
          <w:color w:val="000000"/>
          <w:sz w:val="24"/>
          <w:szCs w:val="36"/>
        </w:rPr>
        <w:t xml:space="preserve">《综合布线系统工程设计规范》(GB 50311-2007)； </w:t>
      </w:r>
    </w:p>
    <w:p>
      <w:pPr>
        <w:spacing w:line="360" w:lineRule="auto"/>
        <w:rPr>
          <w:color w:val="000000"/>
          <w:sz w:val="24"/>
          <w:szCs w:val="36"/>
        </w:rPr>
      </w:pPr>
      <w:r>
        <w:rPr>
          <w:rFonts w:hint="eastAsia"/>
          <w:color w:val="000000"/>
          <w:sz w:val="24"/>
          <w:szCs w:val="36"/>
        </w:rPr>
        <w:t xml:space="preserve">《火灾自动报警系统设计规范》(GB 50116-2013)； </w:t>
      </w:r>
    </w:p>
    <w:p>
      <w:pPr>
        <w:spacing w:line="360" w:lineRule="auto"/>
        <w:rPr>
          <w:color w:val="000000"/>
          <w:sz w:val="24"/>
          <w:szCs w:val="36"/>
        </w:rPr>
      </w:pPr>
      <w:r>
        <w:rPr>
          <w:rFonts w:hint="eastAsia"/>
          <w:color w:val="000000"/>
          <w:sz w:val="24"/>
          <w:szCs w:val="36"/>
        </w:rPr>
        <w:t xml:space="preserve">《建筑照明设计标准》(GB 50034-2013)； </w:t>
      </w:r>
    </w:p>
    <w:p>
      <w:pPr>
        <w:spacing w:line="360" w:lineRule="auto"/>
        <w:rPr>
          <w:color w:val="000000"/>
          <w:sz w:val="24"/>
          <w:szCs w:val="36"/>
        </w:rPr>
      </w:pPr>
      <w:r>
        <w:rPr>
          <w:rFonts w:hint="eastAsia"/>
          <w:color w:val="000000"/>
          <w:sz w:val="24"/>
          <w:szCs w:val="36"/>
        </w:rPr>
        <w:t xml:space="preserve">《计算机场地通用规范》(GBT 2887-2011)； </w:t>
      </w:r>
    </w:p>
    <w:p>
      <w:pPr>
        <w:spacing w:line="360" w:lineRule="auto"/>
        <w:rPr>
          <w:color w:val="000000"/>
          <w:sz w:val="24"/>
          <w:szCs w:val="36"/>
        </w:rPr>
      </w:pPr>
      <w:r>
        <w:rPr>
          <w:rFonts w:hint="eastAsia"/>
          <w:color w:val="000000"/>
          <w:sz w:val="24"/>
          <w:szCs w:val="36"/>
        </w:rPr>
        <w:t xml:space="preserve">《建筑物防雷设计规范》(GB 50057-2010)； </w:t>
      </w:r>
    </w:p>
    <w:p>
      <w:pPr>
        <w:spacing w:line="360" w:lineRule="auto"/>
        <w:rPr>
          <w:color w:val="000000"/>
          <w:sz w:val="24"/>
          <w:szCs w:val="36"/>
        </w:rPr>
      </w:pPr>
      <w:r>
        <w:rPr>
          <w:rFonts w:hint="eastAsia"/>
          <w:color w:val="000000"/>
          <w:sz w:val="24"/>
          <w:szCs w:val="36"/>
        </w:rPr>
        <w:t xml:space="preserve">《建筑物电子信息系统防雷技术规范》(GB 50311—2012)； </w:t>
      </w:r>
    </w:p>
    <w:p>
      <w:pPr>
        <w:spacing w:line="360" w:lineRule="auto"/>
        <w:rPr>
          <w:color w:val="000000"/>
          <w:sz w:val="24"/>
          <w:szCs w:val="36"/>
        </w:rPr>
      </w:pPr>
      <w:r>
        <w:rPr>
          <w:rFonts w:hint="eastAsia"/>
          <w:color w:val="000000"/>
          <w:sz w:val="24"/>
          <w:szCs w:val="36"/>
        </w:rPr>
        <w:t xml:space="preserve">《建筑内部装修设计防火规范》(GB 50222-1995，2001年修订版)； </w:t>
      </w:r>
    </w:p>
    <w:p>
      <w:pPr>
        <w:spacing w:line="360" w:lineRule="auto"/>
        <w:rPr>
          <w:color w:val="000000"/>
          <w:sz w:val="24"/>
          <w:szCs w:val="36"/>
        </w:rPr>
      </w:pPr>
      <w:r>
        <w:rPr>
          <w:rFonts w:hint="eastAsia"/>
          <w:color w:val="000000"/>
          <w:sz w:val="24"/>
          <w:szCs w:val="36"/>
        </w:rPr>
        <w:t xml:space="preserve">《安全防范工程技术规范》(GB 50348-2004)； </w:t>
      </w:r>
    </w:p>
    <w:p>
      <w:pPr>
        <w:spacing w:line="360" w:lineRule="auto"/>
        <w:rPr>
          <w:color w:val="000000"/>
          <w:sz w:val="24"/>
          <w:szCs w:val="36"/>
        </w:rPr>
      </w:pPr>
      <w:r>
        <w:rPr>
          <w:rFonts w:hint="eastAsia"/>
          <w:color w:val="000000"/>
          <w:sz w:val="24"/>
          <w:szCs w:val="36"/>
        </w:rPr>
        <w:t xml:space="preserve">《入侵报警系统工程设计规范》(GB 50394-2007)； </w:t>
      </w:r>
    </w:p>
    <w:p>
      <w:pPr>
        <w:spacing w:line="360" w:lineRule="auto"/>
        <w:rPr>
          <w:color w:val="000000"/>
          <w:sz w:val="24"/>
          <w:szCs w:val="36"/>
        </w:rPr>
      </w:pPr>
      <w:r>
        <w:rPr>
          <w:rFonts w:hint="eastAsia"/>
          <w:color w:val="000000"/>
          <w:sz w:val="24"/>
          <w:szCs w:val="36"/>
        </w:rPr>
        <w:t xml:space="preserve">《视频安防监控系统工程设计规范》(GB 50395-2007)； </w:t>
      </w:r>
    </w:p>
    <w:p>
      <w:pPr>
        <w:spacing w:line="360" w:lineRule="auto"/>
        <w:rPr>
          <w:color w:val="000000"/>
          <w:sz w:val="24"/>
          <w:szCs w:val="36"/>
        </w:rPr>
      </w:pPr>
      <w:r>
        <w:rPr>
          <w:rFonts w:hint="eastAsia"/>
          <w:color w:val="000000"/>
          <w:sz w:val="24"/>
          <w:szCs w:val="36"/>
        </w:rPr>
        <w:t xml:space="preserve">《室内工作场所的照明》(GB/T 26189-2010)； </w:t>
      </w:r>
    </w:p>
    <w:p>
      <w:pPr>
        <w:pStyle w:val="12"/>
        <w:spacing w:line="360" w:lineRule="auto"/>
        <w:ind w:left="0" w:leftChars="0"/>
        <w:rPr>
          <w:sz w:val="24"/>
          <w:szCs w:val="24"/>
        </w:rPr>
        <w:sectPr>
          <w:headerReference r:id="rId5" w:type="default"/>
          <w:footerReference r:id="rId6" w:type="default"/>
          <w:pgSz w:w="11906" w:h="16838"/>
          <w:pgMar w:top="1440" w:right="1800" w:bottom="1440" w:left="1800" w:header="851" w:footer="992" w:gutter="0"/>
          <w:cols w:space="720" w:num="1"/>
          <w:docGrid w:type="lines" w:linePitch="312" w:charSpace="0"/>
        </w:sectPr>
      </w:pPr>
      <w:r>
        <w:rPr>
          <w:rFonts w:hint="eastAsia"/>
          <w:color w:val="000000"/>
          <w:sz w:val="24"/>
          <w:szCs w:val="36"/>
        </w:rPr>
        <w:t>《供配电系统设计规范》(GB 50052-2009)；</w:t>
      </w:r>
    </w:p>
    <w:p>
      <w:pPr>
        <w:pStyle w:val="3"/>
        <w:jc w:val="left"/>
        <w:rPr>
          <w:rFonts w:hAnsi="宋体" w:cs="宋体"/>
          <w:color w:val="000000"/>
        </w:rPr>
      </w:pPr>
      <w:r>
        <w:rPr>
          <w:rFonts w:hint="eastAsia" w:hAnsi="宋体" w:cs="宋体"/>
          <w:color w:val="000000"/>
        </w:rPr>
        <w:t>四、项目技术要求</w:t>
      </w:r>
      <w:bookmarkStart w:id="0" w:name="_Toc4143039"/>
    </w:p>
    <w:p>
      <w:pPr>
        <w:pStyle w:val="2"/>
        <w:outlineLvl w:val="1"/>
        <w:rPr>
          <w:rFonts w:hAnsi="宋体" w:cs="宋体"/>
          <w:color w:val="000000"/>
          <w:sz w:val="28"/>
          <w:szCs w:val="28"/>
        </w:rPr>
      </w:pPr>
      <w:r>
        <w:rPr>
          <w:rFonts w:hint="eastAsia" w:hAnsi="宋体" w:cs="宋体"/>
          <w:color w:val="000000"/>
          <w:sz w:val="28"/>
          <w:szCs w:val="28"/>
        </w:rPr>
        <w:t>1、机房改造要求</w:t>
      </w:r>
    </w:p>
    <w:tbl>
      <w:tblPr>
        <w:tblStyle w:val="21"/>
        <w:tblW w:w="5000" w:type="pct"/>
        <w:tblInd w:w="0" w:type="dxa"/>
        <w:tblLayout w:type="fixed"/>
        <w:tblCellMar>
          <w:top w:w="0" w:type="dxa"/>
          <w:left w:w="108" w:type="dxa"/>
          <w:bottom w:w="0" w:type="dxa"/>
          <w:right w:w="108" w:type="dxa"/>
        </w:tblCellMar>
      </w:tblPr>
      <w:tblGrid>
        <w:gridCol w:w="681"/>
        <w:gridCol w:w="1000"/>
        <w:gridCol w:w="5674"/>
        <w:gridCol w:w="976"/>
        <w:gridCol w:w="1240"/>
      </w:tblGrid>
      <w:tr>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Style w:val="50"/>
                <w:rFonts w:hint="default"/>
              </w:rPr>
              <w:t>序号</w:t>
            </w:r>
          </w:p>
        </w:tc>
        <w:tc>
          <w:tcPr>
            <w:tcW w:w="52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Style w:val="50"/>
                <w:rFonts w:hint="default"/>
              </w:rPr>
              <w:t>指标项</w:t>
            </w:r>
          </w:p>
        </w:tc>
        <w:tc>
          <w:tcPr>
            <w:tcW w:w="296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技术需求</w:t>
            </w:r>
          </w:p>
        </w:tc>
        <w:tc>
          <w:tcPr>
            <w:tcW w:w="510"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单位</w:t>
            </w:r>
          </w:p>
        </w:tc>
        <w:tc>
          <w:tcPr>
            <w:tcW w:w="648"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需求数量</w:t>
            </w:r>
          </w:p>
        </w:tc>
      </w:tr>
      <w:tr>
        <w:tblPrEx>
          <w:tblCellMar>
            <w:top w:w="0" w:type="dxa"/>
            <w:left w:w="108" w:type="dxa"/>
            <w:bottom w:w="0" w:type="dxa"/>
            <w:right w:w="108" w:type="dxa"/>
          </w:tblCellMar>
        </w:tblPrEx>
        <w:trPr>
          <w:trHeight w:val="624"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吊顶</w:t>
            </w:r>
          </w:p>
        </w:tc>
        <w:tc>
          <w:tcPr>
            <w:tcW w:w="2962"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sz w:val="20"/>
              </w:rPr>
            </w:pPr>
            <w:r>
              <w:rPr>
                <w:rFonts w:hint="eastAsia" w:ascii="宋体" w:hAnsi="宋体" w:cs="宋体"/>
                <w:color w:val="000000"/>
                <w:sz w:val="20"/>
              </w:rPr>
              <w:t>铺设新装饰吊顶，板面规格为600 mm宽，厚度不小于0.8mm。</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块</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24</w:t>
            </w:r>
          </w:p>
        </w:tc>
      </w:tr>
      <w:tr>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灯具</w:t>
            </w:r>
          </w:p>
        </w:tc>
        <w:tc>
          <w:tcPr>
            <w:tcW w:w="2962"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sz w:val="20"/>
              </w:rPr>
            </w:pPr>
            <w:r>
              <w:rPr>
                <w:rFonts w:hint="eastAsia" w:ascii="宋体" w:hAnsi="宋体" w:cs="宋体"/>
                <w:color w:val="000000"/>
                <w:sz w:val="20"/>
              </w:rPr>
              <w:t>拆除原有的格栅灯，更换为配合600mm*600mm三管格栅灯。</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6</w:t>
            </w:r>
          </w:p>
        </w:tc>
      </w:tr>
      <w:tr>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3</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台阶</w:t>
            </w:r>
          </w:p>
        </w:tc>
        <w:tc>
          <w:tcPr>
            <w:tcW w:w="2962"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sz w:val="20"/>
              </w:rPr>
            </w:pPr>
            <w:r>
              <w:rPr>
                <w:rFonts w:hint="eastAsia" w:ascii="宋体" w:hAnsi="宋体" w:cs="宋体"/>
                <w:color w:val="000000"/>
                <w:sz w:val="20"/>
              </w:rPr>
              <w:t>根据机房高度，新增台阶，高度与地板齐平。</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624"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4</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防静电地板</w:t>
            </w:r>
          </w:p>
        </w:tc>
        <w:tc>
          <w:tcPr>
            <w:tcW w:w="2962"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sz w:val="20"/>
              </w:rPr>
            </w:pPr>
            <w:r>
              <w:rPr>
                <w:rFonts w:hint="eastAsia" w:ascii="宋体" w:hAnsi="宋体" w:cs="宋体"/>
                <w:color w:val="000000"/>
                <w:sz w:val="20"/>
              </w:rPr>
              <w:t>采用600mm*600mm的抗静电活动地板，防火等级为A级，地板铺设高度为300mm。</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块</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18</w:t>
            </w:r>
          </w:p>
        </w:tc>
      </w:tr>
      <w:tr>
        <w:tblPrEx>
          <w:tblCellMar>
            <w:top w:w="0" w:type="dxa"/>
            <w:left w:w="108" w:type="dxa"/>
            <w:bottom w:w="0" w:type="dxa"/>
            <w:right w:w="108" w:type="dxa"/>
          </w:tblCellMar>
        </w:tblPrEx>
        <w:trPr>
          <w:trHeight w:val="624"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5</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墙面</w:t>
            </w:r>
          </w:p>
        </w:tc>
        <w:tc>
          <w:tcPr>
            <w:tcW w:w="2962"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sz w:val="20"/>
              </w:rPr>
            </w:pPr>
            <w:r>
              <w:rPr>
                <w:rFonts w:hint="eastAsia" w:ascii="宋体" w:hAnsi="宋体" w:cs="宋体"/>
                <w:color w:val="000000"/>
                <w:sz w:val="20"/>
              </w:rPr>
              <w:t>根据实际情况铺设 ，颜色与整体环境协调一致，美观，大方。</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套</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1248"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6</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防尘措施</w:t>
            </w:r>
          </w:p>
        </w:tc>
        <w:tc>
          <w:tcPr>
            <w:tcW w:w="2962"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sz w:val="20"/>
              </w:rPr>
            </w:pPr>
            <w:r>
              <w:rPr>
                <w:rFonts w:hint="eastAsia" w:ascii="宋体" w:hAnsi="宋体" w:cs="宋体"/>
                <w:color w:val="000000"/>
                <w:sz w:val="20"/>
              </w:rPr>
              <w:t>铝合金吊顶板上部的原顶面、梁、墙面、柱面等作防尘处理，全部水泥面均需刷漆处理，达到不起尘，从而保证机房洁净。</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rPr>
            </w:pPr>
            <w:r>
              <w:rPr>
                <w:rFonts w:hint="eastAsia" w:ascii="宋体" w:hAnsi="宋体" w:cs="宋体"/>
                <w:color w:val="000000"/>
                <w:sz w:val="20"/>
              </w:rPr>
              <w:t>套</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7</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窗口</w:t>
            </w:r>
          </w:p>
        </w:tc>
        <w:tc>
          <w:tcPr>
            <w:tcW w:w="2962"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sz w:val="20"/>
              </w:rPr>
            </w:pPr>
            <w:r>
              <w:rPr>
                <w:rFonts w:hint="eastAsia" w:ascii="宋体" w:hAnsi="宋体" w:cs="宋体"/>
                <w:color w:val="000000"/>
                <w:sz w:val="20"/>
              </w:rPr>
              <w:t>新增防盗窗及配套设施，与原有窗户保持风格一致。</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187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8</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防鼠虫害措施</w:t>
            </w:r>
          </w:p>
        </w:tc>
        <w:tc>
          <w:tcPr>
            <w:tcW w:w="2962"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sz w:val="20"/>
              </w:rPr>
            </w:pPr>
            <w:r>
              <w:rPr>
                <w:rFonts w:hint="eastAsia" w:ascii="宋体" w:hAnsi="宋体" w:cs="宋体"/>
                <w:color w:val="000000"/>
                <w:sz w:val="20"/>
              </w:rPr>
              <w:t>结构处理时，封堵本工程范围内的区域与其他区域及与其它楼层相通的孔洞，并对进出机房的线槽孔洞之间的空隙进行严密封堵。对使用过程中新开的孔洞进行及时的封堵。装修过程中原则上不使用木材，局部地方的零星材料进行防虫害处理。对机房内的电缆电线采用线槽、线管保护，线槽与设备之间相连的线缆采用金属软管保护。</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套</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2496"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9</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强弱电布线</w:t>
            </w:r>
          </w:p>
        </w:tc>
        <w:tc>
          <w:tcPr>
            <w:tcW w:w="2962"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sz w:val="20"/>
              </w:rPr>
            </w:pPr>
            <w:r>
              <w:rPr>
                <w:rFonts w:hint="eastAsia" w:ascii="宋体" w:hAnsi="宋体" w:cs="宋体"/>
                <w:color w:val="000000"/>
                <w:sz w:val="20"/>
              </w:rPr>
              <w:t>直流电源线、交流电源线、数据电缆应分开敷设，避免在同一线束内，电缆线应走线方便、整齐、美观，与设备连接线越短越好，同时不应妨碍今后的维护工作，电源线敷设时，应保持其平直、整齐，绑扎间隔适当、松紧合适，塑料扎头应放在隐蔽处，电源线、数据电缆必须是整条线料，外皮完整，中间严禁有接头和急弯处，机房布线、架间连线及各部件连线应无差错，接触良好，焊接光滑，不得碰地、短路、断路。</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套</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312" w:hRule="atLeast"/>
        </w:trPr>
        <w:tc>
          <w:tcPr>
            <w:tcW w:w="355"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10</w:t>
            </w:r>
          </w:p>
        </w:tc>
        <w:tc>
          <w:tcPr>
            <w:tcW w:w="52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壁纸</w:t>
            </w:r>
          </w:p>
        </w:tc>
        <w:tc>
          <w:tcPr>
            <w:tcW w:w="2962" w:type="pct"/>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ascii="宋体" w:hAnsi="宋体" w:cs="宋体"/>
                <w:color w:val="000000"/>
                <w:sz w:val="20"/>
              </w:rPr>
            </w:pPr>
            <w:r>
              <w:rPr>
                <w:rFonts w:hint="eastAsia" w:ascii="宋体" w:hAnsi="宋体" w:cs="宋体"/>
                <w:color w:val="000000"/>
                <w:sz w:val="20"/>
              </w:rPr>
              <w:t>拆除原有的旧壁纸，全局铺设新的壁纸，</w:t>
            </w:r>
          </w:p>
        </w:tc>
        <w:tc>
          <w:tcPr>
            <w:tcW w:w="510"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套</w:t>
            </w:r>
          </w:p>
        </w:tc>
        <w:tc>
          <w:tcPr>
            <w:tcW w:w="64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bl>
    <w:p/>
    <w:p>
      <w:pPr>
        <w:pStyle w:val="2"/>
      </w:pPr>
    </w:p>
    <w:p>
      <w:pPr>
        <w:pStyle w:val="2"/>
      </w:pPr>
    </w:p>
    <w:p>
      <w:pPr>
        <w:pStyle w:val="2"/>
      </w:pPr>
    </w:p>
    <w:p>
      <w:pPr>
        <w:pStyle w:val="2"/>
      </w:pPr>
    </w:p>
    <w:bookmarkEnd w:id="0"/>
    <w:p>
      <w:pPr>
        <w:pStyle w:val="2"/>
        <w:numPr>
          <w:ilvl w:val="0"/>
          <w:numId w:val="7"/>
        </w:numPr>
        <w:outlineLvl w:val="1"/>
        <w:rPr>
          <w:rFonts w:hAnsi="宋体" w:cs="宋体"/>
          <w:color w:val="000000"/>
          <w:sz w:val="24"/>
        </w:rPr>
      </w:pPr>
      <w:bookmarkStart w:id="1" w:name="_Toc4143041"/>
      <w:r>
        <w:rPr>
          <w:rFonts w:hint="eastAsia" w:hAnsi="宋体" w:cs="宋体"/>
          <w:color w:val="000000"/>
          <w:sz w:val="24"/>
        </w:rPr>
        <w:t>环境检测要求</w:t>
      </w:r>
    </w:p>
    <w:tbl>
      <w:tblPr>
        <w:tblStyle w:val="21"/>
        <w:tblW w:w="4998" w:type="pct"/>
        <w:tblInd w:w="0" w:type="dxa"/>
        <w:tblLayout w:type="fixed"/>
        <w:tblCellMar>
          <w:top w:w="0" w:type="dxa"/>
          <w:left w:w="108" w:type="dxa"/>
          <w:bottom w:w="0" w:type="dxa"/>
          <w:right w:w="108" w:type="dxa"/>
        </w:tblCellMar>
      </w:tblPr>
      <w:tblGrid>
        <w:gridCol w:w="942"/>
        <w:gridCol w:w="1404"/>
        <w:gridCol w:w="5262"/>
        <w:gridCol w:w="773"/>
        <w:gridCol w:w="1186"/>
      </w:tblGrid>
      <w:tr>
        <w:tblPrEx>
          <w:tblCellMar>
            <w:top w:w="0" w:type="dxa"/>
            <w:left w:w="108" w:type="dxa"/>
            <w:bottom w:w="0" w:type="dxa"/>
            <w:right w:w="108" w:type="dxa"/>
          </w:tblCellMar>
        </w:tblPrEx>
        <w:trPr>
          <w:trHeight w:val="480" w:hRule="atLeast"/>
        </w:trPr>
        <w:tc>
          <w:tcPr>
            <w:tcW w:w="492"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序号</w:t>
            </w:r>
          </w:p>
        </w:tc>
        <w:tc>
          <w:tcPr>
            <w:tcW w:w="734"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指标项</w:t>
            </w:r>
          </w:p>
        </w:tc>
        <w:tc>
          <w:tcPr>
            <w:tcW w:w="2750"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技术需求</w:t>
            </w:r>
          </w:p>
        </w:tc>
        <w:tc>
          <w:tcPr>
            <w:tcW w:w="404"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单位</w:t>
            </w:r>
          </w:p>
        </w:tc>
        <w:tc>
          <w:tcPr>
            <w:tcW w:w="618"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需求数量</w:t>
            </w:r>
          </w:p>
        </w:tc>
      </w:tr>
      <w:tr>
        <w:tblPrEx>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CC99"/>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一、市电配电参数监测</w:t>
            </w:r>
          </w:p>
        </w:tc>
      </w:tr>
      <w:tr>
        <w:tblPrEx>
          <w:tblCellMar>
            <w:top w:w="0" w:type="dxa"/>
            <w:left w:w="108" w:type="dxa"/>
            <w:bottom w:w="0" w:type="dxa"/>
            <w:right w:w="108" w:type="dxa"/>
          </w:tblCellMar>
        </w:tblPrEx>
        <w:trPr>
          <w:trHeight w:val="1728"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电量监测仪</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1.带LED显示屏，测量网络包括三相四线、三相三线，可测量电流，电压，电能等全电量，含3路互感器 ；</w:t>
            </w:r>
            <w:r>
              <w:rPr>
                <w:rFonts w:hint="eastAsia" w:ascii="宋体" w:hAnsi="宋体" w:cs="宋体"/>
                <w:color w:val="000000"/>
                <w:sz w:val="18"/>
                <w:szCs w:val="18"/>
              </w:rPr>
              <w:br w:type="textWrapping"/>
            </w:r>
            <w:r>
              <w:rPr>
                <w:rFonts w:hint="eastAsia" w:ascii="宋体" w:hAnsi="宋体" w:cs="宋体"/>
                <w:color w:val="000000"/>
                <w:sz w:val="18"/>
                <w:szCs w:val="18"/>
              </w:rPr>
              <w:t xml:space="preserve">2.精度等级：U、I: 0.5 级，P、Q、PF:0.5 级，有功电能:0.5S/1， 无功电能:2 级，模拟量输出:0.5 级 </w:t>
            </w:r>
            <w:r>
              <w:rPr>
                <w:rFonts w:hint="eastAsia" w:ascii="宋体" w:hAnsi="宋体" w:cs="宋体"/>
                <w:color w:val="000000"/>
                <w:sz w:val="18"/>
                <w:szCs w:val="18"/>
              </w:rPr>
              <w:br w:type="textWrapping"/>
            </w:r>
            <w:r>
              <w:rPr>
                <w:rFonts w:hint="eastAsia" w:ascii="宋体" w:hAnsi="宋体" w:cs="宋体"/>
                <w:color w:val="000000"/>
                <w:sz w:val="18"/>
                <w:szCs w:val="18"/>
              </w:rPr>
              <w:t>3.通信接口：1路 RS-485 通信，MODBUS-RTU协议，通信速率:2400~9600</w:t>
            </w:r>
            <w:r>
              <w:rPr>
                <w:rFonts w:hint="eastAsia" w:ascii="宋体" w:hAnsi="宋体" w:cs="宋体"/>
                <w:color w:val="000000"/>
                <w:sz w:val="18"/>
                <w:szCs w:val="18"/>
              </w:rPr>
              <w:br w:type="textWrapping"/>
            </w:r>
            <w:r>
              <w:rPr>
                <w:rFonts w:hint="eastAsia" w:ascii="宋体" w:hAnsi="宋体" w:cs="宋体"/>
                <w:color w:val="000000"/>
                <w:sz w:val="18"/>
                <w:szCs w:val="18"/>
              </w:rPr>
              <w:t>4.输入输出接口：不低于2 路开关量输入，干结点方式；不低于2 路继电器输出，AC250V/5A，DC30V/5A；1路模拟量输出:0/4~20mA 或 0~5/10V</w:t>
            </w:r>
            <w:r>
              <w:rPr>
                <w:rFonts w:hint="eastAsia" w:ascii="宋体" w:hAnsi="宋体" w:cs="宋体"/>
                <w:color w:val="000000"/>
                <w:sz w:val="18"/>
                <w:szCs w:val="18"/>
              </w:rPr>
              <w:br w:type="textWrapping"/>
            </w:r>
            <w:r>
              <w:rPr>
                <w:rFonts w:hint="eastAsia" w:ascii="宋体" w:hAnsi="宋体" w:cs="宋体"/>
                <w:color w:val="000000"/>
                <w:sz w:val="18"/>
                <w:szCs w:val="18"/>
              </w:rPr>
              <w:t>5.★以上参数提供用户手册证明文件</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w:t>
            </w:r>
          </w:p>
        </w:tc>
      </w:tr>
      <w:tr>
        <w:tblPrEx>
          <w:tblCellMar>
            <w:top w:w="0" w:type="dxa"/>
            <w:left w:w="108" w:type="dxa"/>
            <w:bottom w:w="0" w:type="dxa"/>
            <w:right w:w="108" w:type="dxa"/>
          </w:tblCellMar>
        </w:tblPrEx>
        <w:trPr>
          <w:trHeight w:val="1296"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电量监测接口软件</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1.要求对市电配电柜的主回路参数和状态进行实时监测，包含：电压、电流、有功功率、无功功率、视在功率、频率、功率因数、电度，以及开关的状态；</w:t>
            </w:r>
            <w:r>
              <w:rPr>
                <w:rFonts w:hint="eastAsia" w:ascii="宋体" w:hAnsi="宋体" w:cs="宋体"/>
                <w:color w:val="000000"/>
                <w:sz w:val="18"/>
                <w:szCs w:val="18"/>
              </w:rPr>
              <w:br w:type="textWrapping"/>
            </w:r>
            <w:r>
              <w:rPr>
                <w:rFonts w:hint="eastAsia" w:ascii="宋体" w:hAnsi="宋体" w:cs="宋体"/>
                <w:color w:val="000000"/>
                <w:sz w:val="18"/>
                <w:szCs w:val="18"/>
              </w:rPr>
              <w:t>2.要求详细监测内容需符合电量仪表配套协议内容；</w:t>
            </w:r>
            <w:r>
              <w:rPr>
                <w:rFonts w:hint="eastAsia" w:ascii="宋体" w:hAnsi="宋体" w:cs="宋体"/>
                <w:color w:val="000000"/>
                <w:sz w:val="18"/>
                <w:szCs w:val="18"/>
              </w:rPr>
              <w:br w:type="textWrapping"/>
            </w:r>
            <w:r>
              <w:rPr>
                <w:rFonts w:hint="eastAsia" w:ascii="宋体" w:hAnsi="宋体" w:cs="宋体"/>
                <w:color w:val="000000"/>
                <w:sz w:val="18"/>
                <w:szCs w:val="18"/>
              </w:rPr>
              <w:t>3.电量参数越限或开关状态转变时，要求系统自动报警，保存报警记录可查询、打印、导出；</w:t>
            </w:r>
            <w:r>
              <w:rPr>
                <w:rFonts w:hint="eastAsia" w:ascii="宋体" w:hAnsi="宋体" w:cs="宋体"/>
                <w:color w:val="000000"/>
                <w:sz w:val="18"/>
                <w:szCs w:val="18"/>
              </w:rPr>
              <w:br w:type="textWrapping"/>
            </w:r>
            <w:r>
              <w:rPr>
                <w:rFonts w:hint="eastAsia" w:ascii="宋体" w:hAnsi="宋体" w:cs="宋体"/>
                <w:color w:val="000000"/>
                <w:sz w:val="18"/>
                <w:szCs w:val="18"/>
              </w:rPr>
              <w:t>4.需对电量参数生成实时曲线记录和历史曲线记录，并可查询、导出和生成巡检报表和数据分析报表。</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w:t>
            </w:r>
          </w:p>
        </w:tc>
      </w:tr>
      <w:tr>
        <w:tblPrEx>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CC99"/>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二、电力开关状态监测</w:t>
            </w:r>
          </w:p>
        </w:tc>
      </w:tr>
      <w:tr>
        <w:tblPrEx>
          <w:tblCellMar>
            <w:top w:w="0" w:type="dxa"/>
            <w:left w:w="108" w:type="dxa"/>
            <w:bottom w:w="0" w:type="dxa"/>
            <w:right w:w="108" w:type="dxa"/>
          </w:tblCellMar>
        </w:tblPrEx>
        <w:trPr>
          <w:trHeight w:val="1512"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3</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电力开关检测模块</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1.★监测8路220V电压接入状态，简化安装和提高可靠性；</w:t>
            </w:r>
            <w:r>
              <w:rPr>
                <w:rFonts w:hint="eastAsia" w:ascii="宋体" w:hAnsi="宋体" w:cs="宋体"/>
                <w:color w:val="000000"/>
                <w:sz w:val="18"/>
                <w:szCs w:val="18"/>
              </w:rPr>
              <w:br w:type="textWrapping"/>
            </w:r>
            <w:r>
              <w:rPr>
                <w:rFonts w:hint="eastAsia" w:ascii="宋体" w:hAnsi="宋体" w:cs="宋体"/>
                <w:color w:val="000000"/>
                <w:sz w:val="18"/>
                <w:szCs w:val="18"/>
              </w:rPr>
              <w:t>2.提供六个干接点，用于消防等开关量监测；</w:t>
            </w:r>
            <w:r>
              <w:rPr>
                <w:rFonts w:hint="eastAsia" w:ascii="宋体" w:hAnsi="宋体" w:cs="宋体"/>
                <w:color w:val="000000"/>
                <w:sz w:val="18"/>
                <w:szCs w:val="18"/>
              </w:rPr>
              <w:br w:type="textWrapping"/>
            </w:r>
            <w:r>
              <w:rPr>
                <w:rFonts w:hint="eastAsia" w:ascii="宋体" w:hAnsi="宋体" w:cs="宋体"/>
                <w:color w:val="000000"/>
                <w:sz w:val="18"/>
                <w:szCs w:val="18"/>
              </w:rPr>
              <w:t>3.8个指示灯指示8路220V交流或直流电的接入,6路指示灯指示6路干接点状态；</w:t>
            </w:r>
            <w:r>
              <w:rPr>
                <w:rFonts w:hint="eastAsia" w:ascii="宋体" w:hAnsi="宋体" w:cs="宋体"/>
                <w:color w:val="000000"/>
                <w:sz w:val="18"/>
                <w:szCs w:val="18"/>
              </w:rPr>
              <w:br w:type="textWrapping"/>
            </w:r>
            <w:r>
              <w:rPr>
                <w:rFonts w:hint="eastAsia" w:ascii="宋体" w:hAnsi="宋体" w:cs="宋体"/>
                <w:color w:val="000000"/>
                <w:sz w:val="18"/>
                <w:szCs w:val="18"/>
              </w:rPr>
              <w:t>4.同时具有电源指示灯和运行指示灯,直观地了解采集器工作状态和采集结果；</w:t>
            </w:r>
            <w:r>
              <w:rPr>
                <w:rFonts w:hint="eastAsia" w:ascii="宋体" w:hAnsi="宋体" w:cs="宋体"/>
                <w:color w:val="000000"/>
                <w:sz w:val="18"/>
                <w:szCs w:val="18"/>
              </w:rPr>
              <w:br w:type="textWrapping"/>
            </w:r>
            <w:r>
              <w:rPr>
                <w:rFonts w:hint="eastAsia" w:ascii="宋体" w:hAnsi="宋体" w:cs="宋体"/>
                <w:color w:val="000000"/>
                <w:sz w:val="18"/>
                <w:szCs w:val="18"/>
              </w:rPr>
              <w:t>5.★通讯协议采用标准modbus协议；</w:t>
            </w:r>
            <w:r>
              <w:rPr>
                <w:rFonts w:hint="eastAsia" w:ascii="宋体" w:hAnsi="宋体" w:cs="宋体"/>
                <w:color w:val="000000"/>
                <w:sz w:val="18"/>
                <w:szCs w:val="18"/>
              </w:rPr>
              <w:br w:type="textWrapping"/>
            </w:r>
            <w:r>
              <w:rPr>
                <w:rFonts w:hint="eastAsia" w:ascii="宋体" w:hAnsi="宋体" w:cs="宋体"/>
                <w:color w:val="000000"/>
                <w:sz w:val="18"/>
                <w:szCs w:val="18"/>
              </w:rPr>
              <w:t>6.提供RS485通讯，可级联32个实现256路的AC/DC220V、192路的开关量监测；可以设定通讯地址0-255和波特率1200-19200bps</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w:t>
            </w:r>
          </w:p>
        </w:tc>
      </w:tr>
      <w:tr>
        <w:trPr>
          <w:trHeight w:val="648"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4</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电力开关监测接口软件</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1.要求对机房配电箱内关键开关电力状态进行实时监测；</w:t>
            </w:r>
            <w:r>
              <w:rPr>
                <w:rFonts w:hint="eastAsia" w:ascii="宋体" w:hAnsi="宋体" w:cs="宋体"/>
                <w:color w:val="000000"/>
                <w:sz w:val="18"/>
                <w:szCs w:val="18"/>
              </w:rPr>
              <w:br w:type="textWrapping"/>
            </w:r>
            <w:r>
              <w:rPr>
                <w:rFonts w:hint="eastAsia" w:ascii="宋体" w:hAnsi="宋体" w:cs="宋体"/>
                <w:color w:val="000000"/>
                <w:sz w:val="18"/>
                <w:szCs w:val="18"/>
              </w:rPr>
              <w:t>2.要求详细监测内容需符合电力开关检测仪配套协议内容；</w:t>
            </w:r>
            <w:r>
              <w:rPr>
                <w:rFonts w:hint="eastAsia" w:ascii="宋体" w:hAnsi="宋体" w:cs="宋体"/>
                <w:color w:val="000000"/>
                <w:sz w:val="18"/>
                <w:szCs w:val="18"/>
              </w:rPr>
              <w:br w:type="textWrapping"/>
            </w:r>
            <w:r>
              <w:rPr>
                <w:rFonts w:hint="eastAsia" w:ascii="宋体" w:hAnsi="宋体" w:cs="宋体"/>
                <w:color w:val="000000"/>
                <w:sz w:val="18"/>
                <w:szCs w:val="18"/>
              </w:rPr>
              <w:t>3.开关状态转变时，要求系统自动报警，保存报警记录可查询、打印、导出；</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w:t>
            </w:r>
          </w:p>
        </w:tc>
      </w:tr>
      <w:tr>
        <w:tblPrEx>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CC99"/>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三、UPS监测</w:t>
            </w:r>
          </w:p>
        </w:tc>
      </w:tr>
      <w:tr>
        <w:tblPrEx>
          <w:tblCellMar>
            <w:top w:w="0" w:type="dxa"/>
            <w:left w:w="108" w:type="dxa"/>
            <w:bottom w:w="0" w:type="dxa"/>
            <w:right w:w="108" w:type="dxa"/>
          </w:tblCellMar>
        </w:tblPrEx>
        <w:trPr>
          <w:trHeight w:val="1944"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5</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UPS监测接口软件</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通过UPS提供的通信接口和协议，要求对UPS的运行状态和参数进行实时监测，如：UPS输入电力参数（电压、频率、输入负载数据等）、UPS旁路电力参数（电压、频率、旁路负载数据等）、UPS输出电力参数（电压、频率、负载数据等）、电池参数、工作状态（工作模式、整流器部件工作状态、逆变器部件工作状态、旁路部件工作状态、电池部件工作状态等）、故障状态（整流器、逆变器、各吸合器部件故障状态等）；</w:t>
            </w:r>
            <w:r>
              <w:rPr>
                <w:rFonts w:hint="eastAsia" w:ascii="宋体" w:hAnsi="宋体" w:cs="宋体"/>
                <w:color w:val="000000"/>
                <w:sz w:val="18"/>
                <w:szCs w:val="18"/>
              </w:rPr>
              <w:br w:type="textWrapping"/>
            </w:r>
            <w:r>
              <w:rPr>
                <w:rFonts w:hint="eastAsia" w:ascii="宋体" w:hAnsi="宋体" w:cs="宋体"/>
                <w:color w:val="000000"/>
                <w:sz w:val="18"/>
                <w:szCs w:val="18"/>
              </w:rPr>
              <w:t>2.要求详细监测内容需符合UPS厂家提供的配套协议内容；</w:t>
            </w:r>
            <w:r>
              <w:rPr>
                <w:rFonts w:hint="eastAsia" w:ascii="宋体" w:hAnsi="宋体" w:cs="宋体"/>
                <w:color w:val="000000"/>
                <w:sz w:val="18"/>
                <w:szCs w:val="18"/>
              </w:rPr>
              <w:br w:type="textWrapping"/>
            </w:r>
            <w:r>
              <w:rPr>
                <w:rFonts w:hint="eastAsia" w:ascii="宋体" w:hAnsi="宋体" w:cs="宋体"/>
                <w:color w:val="000000"/>
                <w:sz w:val="18"/>
                <w:szCs w:val="18"/>
              </w:rPr>
              <w:t>3.电量参数越限或开关状态转变时，要求系统自动报警，保存报警并记录可查询、打印、导出；</w:t>
            </w:r>
            <w:r>
              <w:rPr>
                <w:rFonts w:hint="eastAsia" w:ascii="宋体" w:hAnsi="宋体" w:cs="宋体"/>
                <w:color w:val="000000"/>
                <w:sz w:val="18"/>
                <w:szCs w:val="18"/>
              </w:rPr>
              <w:br w:type="textWrapping"/>
            </w:r>
            <w:r>
              <w:rPr>
                <w:rFonts w:hint="eastAsia" w:ascii="宋体" w:hAnsi="宋体" w:cs="宋体"/>
                <w:color w:val="000000"/>
                <w:sz w:val="18"/>
                <w:szCs w:val="18"/>
              </w:rPr>
              <w:t>4.需对UPS参数生成实时曲线记录和历史曲线记录，并可查询、导出和生成巡检报表和数据分析报表。</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CC99"/>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四、蓄电池监测</w:t>
            </w:r>
          </w:p>
        </w:tc>
      </w:tr>
      <w:tr>
        <w:tblPrEx>
          <w:tblCellMar>
            <w:top w:w="0" w:type="dxa"/>
            <w:left w:w="108" w:type="dxa"/>
            <w:bottom w:w="0" w:type="dxa"/>
            <w:right w:w="108" w:type="dxa"/>
          </w:tblCellMar>
        </w:tblPrEx>
        <w:trPr>
          <w:trHeight w:val="1944"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6</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电压内阻监测模块</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1.要求电池监控仪采用分散式控制原理，每个检测单元就是一个独立的模块，电池检测单元采用工业机高速处理器完成对电池的电压、温度和内阻检测。方便安装维护，即使电池故障，电池监控仪也可重复利用</w:t>
            </w:r>
            <w:r>
              <w:rPr>
                <w:rFonts w:hint="eastAsia" w:ascii="宋体" w:hAnsi="宋体" w:cs="宋体"/>
                <w:color w:val="000000"/>
                <w:sz w:val="18"/>
                <w:szCs w:val="18"/>
              </w:rPr>
              <w:br w:type="textWrapping"/>
            </w:r>
            <w:r>
              <w:rPr>
                <w:rFonts w:hint="eastAsia" w:ascii="宋体" w:hAnsi="宋体" w:cs="宋体"/>
                <w:color w:val="000000"/>
                <w:sz w:val="18"/>
                <w:szCs w:val="18"/>
              </w:rPr>
              <w:t>2.要求电池监控仪采用交直流自适应内阻测试方法，适应各种测试场合，系统测量精度高，避免充电纹波对系统影响</w:t>
            </w:r>
            <w:r>
              <w:rPr>
                <w:rFonts w:hint="eastAsia" w:ascii="宋体" w:hAnsi="宋体" w:cs="宋体"/>
                <w:color w:val="000000"/>
                <w:sz w:val="18"/>
                <w:szCs w:val="18"/>
              </w:rPr>
              <w:br w:type="textWrapping"/>
            </w:r>
            <w:r>
              <w:rPr>
                <w:rFonts w:hint="eastAsia" w:ascii="宋体" w:hAnsi="宋体" w:cs="宋体"/>
                <w:color w:val="000000"/>
                <w:sz w:val="18"/>
                <w:szCs w:val="18"/>
              </w:rPr>
              <w:t>3.电池模块采用四线法测量电池阻抗，避免线路阻抗对电池内阻检测影响，数据准确合理</w:t>
            </w:r>
            <w:r>
              <w:rPr>
                <w:rFonts w:hint="eastAsia" w:ascii="宋体" w:hAnsi="宋体" w:cs="宋体"/>
                <w:color w:val="000000"/>
                <w:sz w:val="18"/>
                <w:szCs w:val="18"/>
              </w:rPr>
              <w:br w:type="textWrapping"/>
            </w:r>
            <w:r>
              <w:rPr>
                <w:rFonts w:hint="eastAsia" w:ascii="宋体" w:hAnsi="宋体" w:cs="宋体"/>
                <w:color w:val="000000"/>
                <w:sz w:val="18"/>
                <w:szCs w:val="18"/>
              </w:rPr>
              <w:t>4.每个模块采用环形总线方式，避免线路断电造成通讯失效</w:t>
            </w:r>
            <w:r>
              <w:rPr>
                <w:rFonts w:hint="eastAsia" w:ascii="宋体" w:hAnsi="宋体" w:cs="宋体"/>
                <w:color w:val="000000"/>
                <w:sz w:val="18"/>
                <w:szCs w:val="18"/>
              </w:rPr>
              <w:br w:type="textWrapping"/>
            </w:r>
            <w:r>
              <w:rPr>
                <w:rFonts w:hint="eastAsia" w:ascii="宋体" w:hAnsi="宋体" w:cs="宋体"/>
                <w:color w:val="000000"/>
                <w:sz w:val="18"/>
                <w:szCs w:val="18"/>
              </w:rPr>
              <w:t>5.电池采集模块的温度探头，直接集成在测量线束上，可直接采集每节电池的极柱温度，不仅检测电池周围环境温度</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40</w:t>
            </w:r>
          </w:p>
        </w:tc>
      </w:tr>
      <w:tr>
        <w:tblPrEx>
          <w:tblCellMar>
            <w:top w:w="0" w:type="dxa"/>
            <w:left w:w="108" w:type="dxa"/>
            <w:bottom w:w="0" w:type="dxa"/>
            <w:right w:w="108" w:type="dxa"/>
          </w:tblCellMar>
        </w:tblPrEx>
        <w:trPr>
          <w:trHeight w:val="648"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7</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TC模块</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1.DC8～13V供电，2W；</w:t>
            </w:r>
            <w:r>
              <w:rPr>
                <w:rFonts w:hint="eastAsia" w:ascii="宋体" w:hAnsi="宋体" w:cs="宋体"/>
                <w:color w:val="000000"/>
                <w:sz w:val="18"/>
                <w:szCs w:val="18"/>
              </w:rPr>
              <w:br w:type="textWrapping"/>
            </w:r>
            <w:r>
              <w:rPr>
                <w:rFonts w:hint="eastAsia" w:ascii="宋体" w:hAnsi="宋体" w:cs="宋体"/>
                <w:color w:val="000000"/>
                <w:sz w:val="18"/>
                <w:szCs w:val="18"/>
              </w:rPr>
              <w:t>2.实时监测每组电池组的充放电电流、环境温度，超限时自动告警；</w:t>
            </w:r>
            <w:r>
              <w:rPr>
                <w:rFonts w:hint="eastAsia" w:ascii="宋体" w:hAnsi="宋体" w:cs="宋体"/>
                <w:color w:val="000000"/>
                <w:sz w:val="18"/>
                <w:szCs w:val="18"/>
              </w:rPr>
              <w:br w:type="textWrapping"/>
            </w:r>
            <w:r>
              <w:rPr>
                <w:rFonts w:hint="eastAsia" w:ascii="宋体" w:hAnsi="宋体" w:cs="宋体"/>
                <w:color w:val="000000"/>
                <w:sz w:val="18"/>
                <w:szCs w:val="18"/>
              </w:rPr>
              <w:t>3.安装方式：直接粘贴到电池上；</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648"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8</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电流传感器</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1.测量电池充放电电流值；</w:t>
            </w:r>
            <w:r>
              <w:rPr>
                <w:rFonts w:hint="eastAsia" w:ascii="宋体" w:hAnsi="宋体" w:cs="宋体"/>
                <w:color w:val="000000"/>
                <w:sz w:val="18"/>
                <w:szCs w:val="18"/>
              </w:rPr>
              <w:br w:type="textWrapping"/>
            </w:r>
            <w:r>
              <w:rPr>
                <w:rFonts w:hint="eastAsia" w:ascii="宋体" w:hAnsi="宋体" w:cs="宋体"/>
                <w:color w:val="000000"/>
                <w:sz w:val="18"/>
                <w:szCs w:val="18"/>
              </w:rPr>
              <w:t>2.测量范围-500~500A，</w:t>
            </w:r>
            <w:r>
              <w:rPr>
                <w:rFonts w:hint="eastAsia" w:ascii="宋体" w:hAnsi="宋体" w:cs="宋体"/>
                <w:color w:val="000000"/>
                <w:sz w:val="18"/>
                <w:szCs w:val="18"/>
              </w:rPr>
              <w:br w:type="textWrapping"/>
            </w:r>
            <w:r>
              <w:rPr>
                <w:rFonts w:hint="eastAsia" w:ascii="宋体" w:hAnsi="宋体" w:cs="宋体"/>
                <w:color w:val="000000"/>
                <w:sz w:val="18"/>
                <w:szCs w:val="18"/>
              </w:rPr>
              <w:t>3.精度：±2%（最大值）。</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864"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9</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收敛模块</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1.电池收敛模块可以从单模块中逐个读取电压、内阻与温度值，并进行分析处理与显示。</w:t>
            </w:r>
            <w:r>
              <w:rPr>
                <w:rFonts w:hint="eastAsia" w:ascii="宋体" w:hAnsi="宋体" w:cs="宋体"/>
                <w:color w:val="000000"/>
                <w:sz w:val="18"/>
                <w:szCs w:val="18"/>
              </w:rPr>
              <w:br w:type="textWrapping"/>
            </w:r>
            <w:r>
              <w:rPr>
                <w:rFonts w:hint="eastAsia" w:ascii="宋体" w:hAnsi="宋体" w:cs="宋体"/>
                <w:color w:val="000000"/>
                <w:sz w:val="18"/>
                <w:szCs w:val="18"/>
              </w:rPr>
              <w:t>2.每组电池配8米四芯电话线，7米网线。</w:t>
            </w:r>
            <w:r>
              <w:rPr>
                <w:rFonts w:hint="eastAsia" w:ascii="宋体" w:hAnsi="宋体" w:cs="宋体"/>
                <w:color w:val="000000"/>
                <w:sz w:val="18"/>
                <w:szCs w:val="18"/>
              </w:rPr>
              <w:br w:type="textWrapping"/>
            </w:r>
            <w:r>
              <w:rPr>
                <w:rFonts w:hint="eastAsia" w:ascii="宋体" w:hAnsi="宋体" w:cs="宋体"/>
                <w:color w:val="000000"/>
                <w:sz w:val="18"/>
                <w:szCs w:val="18"/>
              </w:rPr>
              <w:t>3.支持最多三组电池接入</w:t>
            </w:r>
            <w:r>
              <w:rPr>
                <w:rFonts w:hint="eastAsia" w:ascii="宋体" w:hAnsi="宋体" w:cs="宋体"/>
                <w:color w:val="000000"/>
                <w:sz w:val="18"/>
                <w:szCs w:val="18"/>
              </w:rPr>
              <w:br w:type="textWrapping"/>
            </w:r>
            <w:r>
              <w:rPr>
                <w:rFonts w:hint="eastAsia" w:ascii="宋体" w:hAnsi="宋体" w:cs="宋体"/>
                <w:color w:val="000000"/>
                <w:sz w:val="18"/>
                <w:szCs w:val="18"/>
              </w:rPr>
              <w:t>4.支持Modbus/TCP及SNMP协议，接入第三方系统</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432"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10</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配线</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1.监量模块与蓄电池连接线，供电连接线和级联线缆；</w:t>
            </w:r>
            <w:r>
              <w:rPr>
                <w:rFonts w:hint="eastAsia" w:ascii="宋体" w:hAnsi="宋体" w:cs="宋体"/>
                <w:color w:val="000000"/>
                <w:sz w:val="18"/>
                <w:szCs w:val="18"/>
              </w:rPr>
              <w:br w:type="textWrapping"/>
            </w:r>
            <w:r>
              <w:rPr>
                <w:rFonts w:hint="eastAsia" w:ascii="宋体" w:hAnsi="宋体" w:cs="宋体"/>
                <w:color w:val="000000"/>
                <w:sz w:val="18"/>
                <w:szCs w:val="18"/>
              </w:rPr>
              <w:t>2.测量回路与电源回路带保险管。</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648"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11</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电池监测接口软件</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1.开发电池监测仪提供的通讯协议；</w:t>
            </w:r>
            <w:r>
              <w:rPr>
                <w:rFonts w:hint="eastAsia" w:ascii="宋体" w:hAnsi="宋体" w:cs="宋体"/>
                <w:color w:val="000000"/>
                <w:sz w:val="18"/>
                <w:szCs w:val="18"/>
              </w:rPr>
              <w:br w:type="textWrapping"/>
            </w:r>
            <w:r>
              <w:rPr>
                <w:rFonts w:hint="eastAsia" w:ascii="宋体" w:hAnsi="宋体" w:cs="宋体"/>
                <w:color w:val="000000"/>
                <w:sz w:val="18"/>
                <w:szCs w:val="18"/>
              </w:rPr>
              <w:t>2.实时监测并保存电池单体电压/组压/单体内阻/温度/环境温度/电流值；</w:t>
            </w:r>
            <w:r>
              <w:rPr>
                <w:rFonts w:hint="eastAsia" w:ascii="宋体" w:hAnsi="宋体" w:cs="宋体"/>
                <w:color w:val="000000"/>
                <w:sz w:val="18"/>
                <w:szCs w:val="18"/>
              </w:rPr>
              <w:br w:type="textWrapping"/>
            </w:r>
            <w:r>
              <w:rPr>
                <w:rFonts w:hint="eastAsia" w:ascii="宋体" w:hAnsi="宋体" w:cs="宋体"/>
                <w:color w:val="000000"/>
                <w:sz w:val="18"/>
                <w:szCs w:val="18"/>
              </w:rPr>
              <w:t>3.设定报警上、下限值等。</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CC99"/>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五、精密空调监测</w:t>
            </w:r>
          </w:p>
        </w:tc>
      </w:tr>
      <w:tr>
        <w:tblPrEx>
          <w:tblCellMar>
            <w:top w:w="0" w:type="dxa"/>
            <w:left w:w="108" w:type="dxa"/>
            <w:bottom w:w="0" w:type="dxa"/>
            <w:right w:w="108" w:type="dxa"/>
          </w:tblCellMar>
        </w:tblPrEx>
        <w:trPr>
          <w:trHeight w:val="1512"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12</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空调监测接口软件</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通过精密空调提供的通信接口和协议，要求对空调的运行状态和参数进行实时监测，如：空调各部件工作状态和故障状态（开关状态、压缩机状态、蒸发器状态、加湿器状态、风机状态、阀门状态等）、空调各种运行参数（设定温度、湿度，送回风温度、湿度，压缩机、蒸发器、风机、加湿器连续或累计运行时间，压缩机负载比等）；</w:t>
            </w:r>
            <w:r>
              <w:rPr>
                <w:rFonts w:hint="eastAsia" w:ascii="宋体" w:hAnsi="宋体" w:cs="宋体"/>
                <w:color w:val="000000"/>
                <w:sz w:val="18"/>
                <w:szCs w:val="18"/>
              </w:rPr>
              <w:br w:type="textWrapping"/>
            </w:r>
            <w:r>
              <w:rPr>
                <w:rFonts w:hint="eastAsia" w:ascii="宋体" w:hAnsi="宋体" w:cs="宋体"/>
                <w:color w:val="000000"/>
                <w:sz w:val="18"/>
                <w:szCs w:val="18"/>
              </w:rPr>
              <w:t>2.要求详细监测内容需符合空调厂家提供的配套协议内容；</w:t>
            </w:r>
            <w:r>
              <w:rPr>
                <w:rFonts w:hint="eastAsia" w:ascii="宋体" w:hAnsi="宋体" w:cs="宋体"/>
                <w:color w:val="000000"/>
                <w:sz w:val="18"/>
                <w:szCs w:val="18"/>
              </w:rPr>
              <w:br w:type="textWrapping"/>
            </w:r>
            <w:r>
              <w:rPr>
                <w:rFonts w:hint="eastAsia" w:ascii="宋体" w:hAnsi="宋体" w:cs="宋体"/>
                <w:color w:val="000000"/>
                <w:sz w:val="18"/>
                <w:szCs w:val="18"/>
              </w:rPr>
              <w:t>3.空调参数越限或状态异常时，要求系统自动报警，保存报警记录可查询、打印、导出；</w:t>
            </w:r>
            <w:r>
              <w:rPr>
                <w:rFonts w:hint="eastAsia" w:ascii="宋体" w:hAnsi="宋体" w:cs="宋体"/>
                <w:color w:val="000000"/>
                <w:sz w:val="18"/>
                <w:szCs w:val="18"/>
              </w:rPr>
              <w:br w:type="textWrapping"/>
            </w:r>
            <w:r>
              <w:rPr>
                <w:rFonts w:hint="eastAsia" w:ascii="宋体" w:hAnsi="宋体" w:cs="宋体"/>
                <w:color w:val="000000"/>
                <w:sz w:val="18"/>
                <w:szCs w:val="18"/>
              </w:rPr>
              <w:t>4.在精密空调自身开放权限的前提下，要求具有启停控制、联动控制和参数设置功能。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w:t>
            </w:r>
          </w:p>
        </w:tc>
      </w:tr>
      <w:tr>
        <w:tblPrEx>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CC99"/>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六、漏水检测</w:t>
            </w:r>
          </w:p>
        </w:tc>
      </w:tr>
      <w:tr>
        <w:tblPrEx>
          <w:tblCellMar>
            <w:top w:w="0" w:type="dxa"/>
            <w:left w:w="108" w:type="dxa"/>
            <w:bottom w:w="0" w:type="dxa"/>
            <w:right w:w="108" w:type="dxa"/>
          </w:tblCellMar>
        </w:tblPrEx>
        <w:trPr>
          <w:trHeight w:val="648" w:hRule="atLeast"/>
        </w:trPr>
        <w:tc>
          <w:tcPr>
            <w:tcW w:w="4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13</w:t>
            </w:r>
          </w:p>
        </w:tc>
        <w:tc>
          <w:tcPr>
            <w:tcW w:w="73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漏水控制器（含漏水线）</w:t>
            </w:r>
          </w:p>
        </w:tc>
        <w:tc>
          <w:tcPr>
            <w:tcW w:w="2750"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1.包含漏水控制器和10米漏水检测线，配套固定胶贴</w:t>
            </w:r>
            <w:r>
              <w:rPr>
                <w:rFonts w:hint="eastAsia" w:ascii="宋体" w:hAnsi="宋体" w:cs="宋体"/>
                <w:color w:val="000000"/>
                <w:sz w:val="18"/>
                <w:szCs w:val="18"/>
              </w:rPr>
              <w:br w:type="textWrapping"/>
            </w:r>
            <w:r>
              <w:rPr>
                <w:rFonts w:hint="eastAsia" w:ascii="宋体" w:hAnsi="宋体" w:cs="宋体"/>
                <w:color w:val="000000"/>
                <w:sz w:val="18"/>
                <w:szCs w:val="18"/>
              </w:rPr>
              <w:t>2.漏水控制器具备调节灵敏度要求，有效杜绝由环境湿度和灰尘造成的误告警</w:t>
            </w:r>
            <w:r>
              <w:rPr>
                <w:rFonts w:hint="eastAsia" w:ascii="宋体" w:hAnsi="宋体" w:cs="宋体"/>
                <w:color w:val="000000"/>
                <w:sz w:val="18"/>
                <w:szCs w:val="18"/>
              </w:rPr>
              <w:br w:type="textWrapping"/>
            </w:r>
            <w:r>
              <w:rPr>
                <w:rFonts w:hint="eastAsia" w:ascii="宋体" w:hAnsi="宋体" w:cs="宋体"/>
                <w:color w:val="000000"/>
                <w:sz w:val="18"/>
                <w:szCs w:val="18"/>
              </w:rPr>
              <w:t>3.可支持RS-485和开关量报警输出与平台通信，根据现场采集网关接入量灵活选择接入方式</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w:t>
            </w:r>
          </w:p>
        </w:tc>
      </w:tr>
      <w:tr>
        <w:tblPrEx>
          <w:tblCellMar>
            <w:top w:w="0" w:type="dxa"/>
            <w:left w:w="108" w:type="dxa"/>
            <w:bottom w:w="0" w:type="dxa"/>
            <w:right w:w="108" w:type="dxa"/>
          </w:tblCellMar>
        </w:tblPrEx>
        <w:trPr>
          <w:trHeight w:val="432"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14</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漏水监测接口软件</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1.开发漏水检测设备提供的通讯协议，</w:t>
            </w:r>
            <w:r>
              <w:rPr>
                <w:rFonts w:hint="eastAsia" w:ascii="宋体" w:hAnsi="宋体" w:cs="宋体"/>
                <w:color w:val="000000"/>
                <w:sz w:val="18"/>
                <w:szCs w:val="18"/>
              </w:rPr>
              <w:br w:type="textWrapping"/>
            </w:r>
            <w:r>
              <w:rPr>
                <w:rFonts w:hint="eastAsia" w:ascii="宋体" w:hAnsi="宋体" w:cs="宋体"/>
                <w:color w:val="000000"/>
                <w:sz w:val="18"/>
                <w:szCs w:val="18"/>
              </w:rPr>
              <w:t>2.实时显示并保存漏水检测系统的状态，当漏水报警时，准确显示漏水位置。</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CC99"/>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七、温湿度监测</w:t>
            </w:r>
          </w:p>
        </w:tc>
      </w:tr>
      <w:tr>
        <w:tblPrEx>
          <w:tblCellMar>
            <w:top w:w="0" w:type="dxa"/>
            <w:left w:w="108" w:type="dxa"/>
            <w:bottom w:w="0" w:type="dxa"/>
            <w:right w:w="108" w:type="dxa"/>
          </w:tblCellMar>
        </w:tblPrEx>
        <w:trPr>
          <w:trHeight w:val="1080"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15</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温湿度传感器</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1.9～30VDC宽电压供电，支持温度、湿度、露点监测。</w:t>
            </w:r>
            <w:r>
              <w:rPr>
                <w:rFonts w:hint="eastAsia" w:ascii="宋体" w:hAnsi="宋体" w:cs="宋体"/>
                <w:color w:val="000000"/>
                <w:sz w:val="18"/>
                <w:szCs w:val="18"/>
              </w:rPr>
              <w:br w:type="textWrapping"/>
            </w:r>
            <w:r>
              <w:rPr>
                <w:rFonts w:hint="eastAsia" w:ascii="宋体" w:hAnsi="宋体" w:cs="宋体"/>
                <w:color w:val="000000"/>
                <w:sz w:val="18"/>
                <w:szCs w:val="18"/>
              </w:rPr>
              <w:t>2.测温范围：-20℃ ～+60℃，测湿范围：0～100％RH</w:t>
            </w:r>
            <w:r>
              <w:rPr>
                <w:rFonts w:hint="eastAsia" w:ascii="宋体" w:hAnsi="宋体" w:cs="宋体"/>
                <w:color w:val="000000"/>
                <w:sz w:val="18"/>
                <w:szCs w:val="18"/>
              </w:rPr>
              <w:br w:type="textWrapping"/>
            </w:r>
            <w:r>
              <w:rPr>
                <w:rFonts w:hint="eastAsia" w:ascii="宋体" w:hAnsi="宋体" w:cs="宋体"/>
                <w:color w:val="000000"/>
                <w:sz w:val="18"/>
                <w:szCs w:val="18"/>
              </w:rPr>
              <w:t>3.湿度精度：±3%RH，温度精度：±0.3℃</w:t>
            </w:r>
            <w:r>
              <w:rPr>
                <w:rFonts w:hint="eastAsia" w:ascii="宋体" w:hAnsi="宋体" w:cs="宋体"/>
                <w:color w:val="000000"/>
                <w:sz w:val="18"/>
                <w:szCs w:val="18"/>
              </w:rPr>
              <w:br w:type="textWrapping"/>
            </w:r>
            <w:r>
              <w:rPr>
                <w:rFonts w:hint="eastAsia" w:ascii="宋体" w:hAnsi="宋体" w:cs="宋体"/>
                <w:color w:val="000000"/>
                <w:sz w:val="18"/>
                <w:szCs w:val="18"/>
              </w:rPr>
              <w:t>4.通讯协议采用标准modbus协议，提供RS485输出，可经受RS485总线4KV雷击</w:t>
            </w:r>
            <w:r>
              <w:rPr>
                <w:rFonts w:hint="eastAsia" w:ascii="宋体" w:hAnsi="宋体" w:cs="宋体"/>
                <w:color w:val="000000"/>
                <w:sz w:val="18"/>
                <w:szCs w:val="18"/>
              </w:rPr>
              <w:br w:type="textWrapping"/>
            </w:r>
            <w:r>
              <w:rPr>
                <w:rFonts w:hint="eastAsia" w:ascii="宋体" w:hAnsi="宋体" w:cs="宋体"/>
                <w:color w:val="000000"/>
                <w:sz w:val="18"/>
                <w:szCs w:val="18"/>
              </w:rPr>
              <w:t>5.★提供校准报告和产品手册证明文件</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8</w:t>
            </w:r>
          </w:p>
        </w:tc>
      </w:tr>
      <w:tr>
        <w:tblPrEx>
          <w:tblCellMar>
            <w:top w:w="0" w:type="dxa"/>
            <w:left w:w="108" w:type="dxa"/>
            <w:bottom w:w="0" w:type="dxa"/>
            <w:right w:w="108" w:type="dxa"/>
          </w:tblCellMar>
        </w:tblPrEx>
        <w:trPr>
          <w:trHeight w:val="432"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16</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温湿度监测接口软件</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1.开发温湿度传感器的通讯协议，</w:t>
            </w:r>
            <w:r>
              <w:rPr>
                <w:rFonts w:hint="eastAsia" w:ascii="宋体" w:hAnsi="宋体" w:cs="宋体"/>
                <w:color w:val="000000"/>
                <w:sz w:val="18"/>
                <w:szCs w:val="18"/>
              </w:rPr>
              <w:br w:type="textWrapping"/>
            </w:r>
            <w:r>
              <w:rPr>
                <w:rFonts w:hint="eastAsia" w:ascii="宋体" w:hAnsi="宋体" w:cs="宋体"/>
                <w:color w:val="000000"/>
                <w:sz w:val="18"/>
                <w:szCs w:val="18"/>
              </w:rPr>
              <w:t>2.实时监测并保存温度和湿度值；设定报警上、下限值等</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8</w:t>
            </w:r>
          </w:p>
        </w:tc>
      </w:tr>
      <w:tr>
        <w:tblPrEx>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CC99"/>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八、消防烟雾报警监测</w:t>
            </w:r>
          </w:p>
        </w:tc>
      </w:tr>
      <w:tr>
        <w:tblPrEx>
          <w:tblCellMar>
            <w:top w:w="0" w:type="dxa"/>
            <w:left w:w="108" w:type="dxa"/>
            <w:bottom w:w="0" w:type="dxa"/>
            <w:right w:w="108" w:type="dxa"/>
          </w:tblCellMar>
        </w:tblPrEx>
        <w:trPr>
          <w:trHeight w:val="432"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17</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探测器（烟感）</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1.点型光电感烟火灾探测器，电源DC12V，CPU 控制，报警信号以继电器触点动作变化的形式给出，且具有报警锁定功能，尺寸75mm×51.8mm×38.5mm (带底座），</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4</w:t>
            </w:r>
          </w:p>
        </w:tc>
      </w:tr>
      <w:tr>
        <w:trPr>
          <w:trHeight w:val="480"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18</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消防报警监测接口软件</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1.根据消防主机和烟感提供的接口，定制监测界面；</w:t>
            </w:r>
            <w:r>
              <w:rPr>
                <w:rFonts w:hint="eastAsia" w:ascii="宋体" w:hAnsi="宋体" w:cs="宋体"/>
                <w:color w:val="000000"/>
                <w:sz w:val="18"/>
                <w:szCs w:val="18"/>
              </w:rPr>
              <w:br w:type="textWrapping"/>
            </w:r>
            <w:r>
              <w:rPr>
                <w:rFonts w:hint="eastAsia" w:ascii="宋体" w:hAnsi="宋体" w:cs="宋体"/>
                <w:color w:val="000000"/>
                <w:sz w:val="18"/>
                <w:szCs w:val="18"/>
              </w:rPr>
              <w:t>2.实时监测并保存烟雾传感器或消防主机预警状态；设定报警上、下限值等。</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CC99"/>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九、视频监控系统</w:t>
            </w:r>
          </w:p>
        </w:tc>
      </w:tr>
      <w:tr>
        <w:tblPrEx>
          <w:tblCellMar>
            <w:top w:w="0" w:type="dxa"/>
            <w:left w:w="108" w:type="dxa"/>
            <w:bottom w:w="0" w:type="dxa"/>
            <w:right w:w="108" w:type="dxa"/>
          </w:tblCellMar>
        </w:tblPrEx>
        <w:trPr>
          <w:trHeight w:val="1728"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19</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网络摄像机</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1.200万1/2.7”CMOS红外防水ICR半球形网络摄像机，4mm镜头, 水平视场角:73.1°(2.8mm、6mm、8mm、12mm可选) ；</w:t>
            </w:r>
            <w:r>
              <w:rPr>
                <w:rFonts w:hint="eastAsia" w:ascii="宋体" w:hAnsi="宋体" w:cs="宋体"/>
                <w:color w:val="000000"/>
                <w:sz w:val="18"/>
                <w:szCs w:val="18"/>
              </w:rPr>
              <w:br w:type="textWrapping"/>
            </w:r>
            <w:r>
              <w:rPr>
                <w:rFonts w:hint="eastAsia" w:ascii="宋体" w:hAnsi="宋体" w:cs="宋体"/>
                <w:color w:val="000000"/>
                <w:sz w:val="18"/>
                <w:szCs w:val="18"/>
              </w:rPr>
              <w:t>2.视频压缩标准 H.264/MJPEG，最大图像尺寸1920×1080；1个RJ45 10M/100M 自适应以太网口；</w:t>
            </w:r>
            <w:r>
              <w:rPr>
                <w:rFonts w:hint="eastAsia" w:ascii="宋体" w:hAnsi="宋体" w:cs="宋体"/>
                <w:color w:val="000000"/>
                <w:sz w:val="18"/>
                <w:szCs w:val="18"/>
              </w:rPr>
              <w:br w:type="textWrapping"/>
            </w:r>
            <w:r>
              <w:rPr>
                <w:rFonts w:hint="eastAsia" w:ascii="宋体" w:hAnsi="宋体" w:cs="宋体"/>
                <w:color w:val="000000"/>
                <w:sz w:val="18"/>
                <w:szCs w:val="18"/>
              </w:rPr>
              <w:t>3.供电：DC12V，3.5W，±25%宽电压，支持POE供电；</w:t>
            </w:r>
            <w:r>
              <w:rPr>
                <w:rFonts w:hint="eastAsia" w:ascii="宋体" w:hAnsi="宋体" w:cs="宋体"/>
                <w:color w:val="000000"/>
                <w:sz w:val="18"/>
                <w:szCs w:val="18"/>
              </w:rPr>
              <w:br w:type="textWrapping"/>
            </w:r>
            <w:r>
              <w:rPr>
                <w:rFonts w:hint="eastAsia" w:ascii="宋体" w:hAnsi="宋体" w:cs="宋体"/>
                <w:color w:val="000000"/>
                <w:sz w:val="18"/>
                <w:szCs w:val="18"/>
              </w:rPr>
              <w:t>4.支持移动侦测功能，支持128G  micro SD卡；</w:t>
            </w:r>
            <w:r>
              <w:rPr>
                <w:rFonts w:hint="eastAsia" w:ascii="宋体" w:hAnsi="宋体" w:cs="宋体"/>
                <w:color w:val="000000"/>
                <w:sz w:val="18"/>
                <w:szCs w:val="18"/>
              </w:rPr>
              <w:br w:type="textWrapping"/>
            </w:r>
            <w:r>
              <w:rPr>
                <w:rFonts w:hint="eastAsia" w:ascii="宋体" w:hAnsi="宋体" w:cs="宋体"/>
                <w:color w:val="000000"/>
                <w:sz w:val="18"/>
                <w:szCs w:val="18"/>
              </w:rPr>
              <w:t>5.采用高效红外灯,照射距离可达10-30米</w:t>
            </w:r>
            <w:r>
              <w:rPr>
                <w:rFonts w:hint="eastAsia" w:ascii="宋体" w:hAnsi="宋体" w:cs="宋体"/>
                <w:color w:val="000000"/>
                <w:sz w:val="18"/>
                <w:szCs w:val="18"/>
              </w:rPr>
              <w:br w:type="textWrapping"/>
            </w:r>
            <w:r>
              <w:rPr>
                <w:rFonts w:hint="eastAsia" w:ascii="宋体" w:hAnsi="宋体" w:cs="宋体"/>
                <w:color w:val="000000"/>
                <w:sz w:val="18"/>
                <w:szCs w:val="18"/>
              </w:rPr>
              <w:t>6.IK10防暴/6KV防浪涌/IP67</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个</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6</w:t>
            </w:r>
          </w:p>
        </w:tc>
      </w:tr>
      <w:tr>
        <w:tblPrEx>
          <w:tblCellMar>
            <w:top w:w="0" w:type="dxa"/>
            <w:left w:w="108" w:type="dxa"/>
            <w:bottom w:w="0" w:type="dxa"/>
            <w:right w:w="108" w:type="dxa"/>
          </w:tblCellMar>
        </w:tblPrEx>
        <w:trPr>
          <w:trHeight w:val="1080"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20</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硬盘录像机</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网络视频输入不低于8路，可接驳网络摄像机、网络快球和网络视频服务器，H.264视频压缩标准，录像分辨率：6MP/5MP/3MP/1080p/UXGA/720p/VGA/4CIF/DCIF/2CIF/CIF/QCIF，每个接口支持容量最大6TB的硬盘；最大分辨率为1920×1080；电源：AC220V，19英寸标准1U机箱；</w:t>
            </w:r>
            <w:r>
              <w:rPr>
                <w:rFonts w:hint="eastAsia" w:ascii="宋体" w:hAnsi="宋体" w:cs="宋体"/>
                <w:color w:val="000000"/>
                <w:sz w:val="18"/>
                <w:szCs w:val="18"/>
              </w:rPr>
              <w:br w:type="textWrapping"/>
            </w:r>
            <w:r>
              <w:rPr>
                <w:rFonts w:hint="eastAsia" w:ascii="宋体" w:hAnsi="宋体" w:cs="宋体"/>
                <w:color w:val="000000"/>
                <w:sz w:val="18"/>
                <w:szCs w:val="18"/>
              </w:rPr>
              <w:t>2.2个盘位，支持弱电间视频接入。</w:t>
            </w:r>
            <w:r>
              <w:rPr>
                <w:rFonts w:hint="eastAsia" w:ascii="宋体" w:hAnsi="宋体" w:cs="宋体"/>
                <w:color w:val="000000"/>
                <w:sz w:val="18"/>
                <w:szCs w:val="18"/>
              </w:rPr>
              <w:br w:type="textWrapping"/>
            </w:r>
            <w:r>
              <w:rPr>
                <w:rFonts w:hint="eastAsia" w:ascii="宋体" w:hAnsi="宋体" w:cs="宋体"/>
                <w:color w:val="000000"/>
                <w:sz w:val="18"/>
                <w:szCs w:val="18"/>
              </w:rPr>
              <w:t>3、至少存贮180天的视频资料，能够设定定期清除最早视频。</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台</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648"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21</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监控级硬盘</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1.硬盘容量：4000GB，</w:t>
            </w:r>
            <w:r>
              <w:rPr>
                <w:rFonts w:hint="eastAsia" w:ascii="宋体" w:hAnsi="宋体" w:cs="宋体"/>
                <w:color w:val="000000"/>
                <w:sz w:val="18"/>
                <w:szCs w:val="18"/>
              </w:rPr>
              <w:br w:type="textWrapping"/>
            </w:r>
            <w:r>
              <w:rPr>
                <w:rFonts w:hint="eastAsia" w:ascii="宋体" w:hAnsi="宋体" w:cs="宋体"/>
                <w:color w:val="000000"/>
                <w:sz w:val="18"/>
                <w:szCs w:val="18"/>
              </w:rPr>
              <w:t>2.硬盘尺寸：3.5英寸，接口类型：SATA3.0，3.转速：不低于5400rpm，缓存：256MB，接口速率：6Gb/秒。</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块</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4</w:t>
            </w:r>
          </w:p>
        </w:tc>
      </w:tr>
      <w:tr>
        <w:tblPrEx>
          <w:tblCellMar>
            <w:top w:w="0" w:type="dxa"/>
            <w:left w:w="108" w:type="dxa"/>
            <w:bottom w:w="0" w:type="dxa"/>
            <w:right w:w="108" w:type="dxa"/>
          </w:tblCellMar>
        </w:tblPrEx>
        <w:trPr>
          <w:trHeight w:val="432"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22</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POE交换机</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1.24口1000Base-T以太网口,2个10G Base-X SFP+光口，非网管，支持POE供电，19英寸标准机架，带挂耳</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台</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1512"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23</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视频监控软件</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系统支持主流视频监控厂家的视频接入功能，实现实时浏览和远程回放的功能。视频集成的方式采用RTSP直接取流，避免资源浪费、提升性能，无需外挂视频监控系统软件，无需另外通过访问视频监控系统来观看、调取图像资料；</w:t>
            </w:r>
            <w:r>
              <w:rPr>
                <w:rFonts w:hint="eastAsia" w:ascii="宋体" w:hAnsi="宋体" w:cs="宋体"/>
                <w:color w:val="000000"/>
                <w:sz w:val="18"/>
                <w:szCs w:val="18"/>
              </w:rPr>
              <w:br w:type="textWrapping"/>
            </w:r>
            <w:r>
              <w:rPr>
                <w:rFonts w:hint="eastAsia" w:ascii="宋体" w:hAnsi="宋体" w:cs="宋体"/>
                <w:color w:val="000000"/>
                <w:sz w:val="18"/>
                <w:szCs w:val="18"/>
              </w:rPr>
              <w:t>2.系统须支持以多宫格方式进行视频查看，例如四宫格，九宫格等，且支持在组态模式下呼出视频实时画面；</w:t>
            </w:r>
            <w:r>
              <w:rPr>
                <w:rFonts w:hint="eastAsia" w:ascii="宋体" w:hAnsi="宋体" w:cs="宋体"/>
                <w:color w:val="000000"/>
                <w:sz w:val="18"/>
                <w:szCs w:val="18"/>
              </w:rPr>
              <w:br w:type="textWrapping"/>
            </w:r>
            <w:r>
              <w:rPr>
                <w:rFonts w:hint="eastAsia" w:ascii="宋体" w:hAnsi="宋体" w:cs="宋体"/>
                <w:color w:val="000000"/>
                <w:sz w:val="18"/>
                <w:szCs w:val="18"/>
              </w:rPr>
              <w:t>3.无需安装flash或其他插件，实现视频播放、回放等 ；</w:t>
            </w:r>
            <w:r>
              <w:rPr>
                <w:rFonts w:hint="eastAsia" w:ascii="宋体" w:hAnsi="宋体" w:cs="宋体"/>
                <w:color w:val="000000"/>
                <w:sz w:val="18"/>
                <w:szCs w:val="18"/>
              </w:rPr>
              <w:br w:type="textWrapping"/>
            </w:r>
            <w:r>
              <w:rPr>
                <w:rFonts w:hint="eastAsia" w:ascii="宋体" w:hAnsi="宋体" w:cs="宋体"/>
                <w:color w:val="000000"/>
                <w:sz w:val="18"/>
                <w:szCs w:val="18"/>
              </w:rPr>
              <w:t>4.支持视频接入数量不低于20只。</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24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FFCC99"/>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十、监控中心</w:t>
            </w:r>
          </w:p>
        </w:tc>
      </w:tr>
      <w:tr>
        <w:tblPrEx>
          <w:tblCellMar>
            <w:top w:w="0" w:type="dxa"/>
            <w:left w:w="108" w:type="dxa"/>
            <w:bottom w:w="0" w:type="dxa"/>
            <w:right w:w="108" w:type="dxa"/>
          </w:tblCellMar>
        </w:tblPrEx>
        <w:trPr>
          <w:trHeight w:val="544"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24</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环控管理一体机</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0"/>
              </w:rPr>
            </w:pPr>
            <w:r>
              <w:rPr>
                <w:rFonts w:hint="eastAsia" w:ascii="宋体" w:hAnsi="宋体" w:cs="宋体"/>
                <w:color w:val="000000"/>
                <w:sz w:val="20"/>
              </w:rPr>
              <w:t>1.要求采集网关采用标准机架式安装，1U高度，要求1U机架式，接口数量不少于以下标准：8路RS485，RJ45接口，其中1、2路复用，其他独立通讯信道；7、8路可以RS232/RS485跳帽切换；2个WAN口；12路RJ45接口DI，可自由切换常开常闭；4路RJ45接口DO，USB*2；</w:t>
            </w:r>
            <w:r>
              <w:rPr>
                <w:rFonts w:hint="eastAsia" w:ascii="宋体" w:hAnsi="宋体" w:cs="宋体"/>
                <w:color w:val="000000"/>
                <w:sz w:val="20"/>
              </w:rPr>
              <w:br w:type="textWrapping"/>
            </w:r>
            <w:r>
              <w:rPr>
                <w:rFonts w:hint="eastAsia" w:ascii="宋体" w:hAnsi="宋体" w:cs="宋体"/>
                <w:color w:val="000000"/>
                <w:sz w:val="20"/>
              </w:rPr>
              <w:t>2.DI,DO,RS485接口均可提供12V,最高500mA DC供电；</w:t>
            </w:r>
            <w:r>
              <w:rPr>
                <w:rFonts w:hint="eastAsia" w:ascii="宋体" w:hAnsi="宋体" w:cs="宋体"/>
                <w:color w:val="000000"/>
                <w:sz w:val="20"/>
              </w:rPr>
              <w:br w:type="textWrapping"/>
            </w:r>
            <w:r>
              <w:rPr>
                <w:rFonts w:hint="eastAsia" w:ascii="宋体" w:hAnsi="宋体" w:cs="宋体"/>
                <w:color w:val="000000"/>
                <w:sz w:val="20"/>
              </w:rPr>
              <w:t>3.预装 Linux 操作系统（含CentOS、RHEL、Ubuntu）；</w:t>
            </w:r>
            <w:r>
              <w:rPr>
                <w:rFonts w:hint="eastAsia" w:ascii="宋体" w:hAnsi="宋体" w:cs="宋体"/>
                <w:color w:val="000000"/>
                <w:sz w:val="20"/>
              </w:rPr>
              <w:br w:type="textWrapping"/>
            </w:r>
            <w:r>
              <w:rPr>
                <w:rFonts w:hint="eastAsia" w:ascii="宋体" w:hAnsi="宋体" w:cs="宋体"/>
                <w:color w:val="000000"/>
                <w:sz w:val="20"/>
              </w:rPr>
              <w:t>4.★支持MODBUS协议、MQTT协议(支持MQTT开放协议)、SNMP协议、电总协议、IEC104协议等多种标准和私有接入协议；</w:t>
            </w:r>
            <w:r>
              <w:rPr>
                <w:rFonts w:hint="eastAsia" w:ascii="宋体" w:hAnsi="宋体" w:cs="宋体"/>
                <w:color w:val="000000"/>
                <w:sz w:val="20"/>
              </w:rPr>
              <w:br w:type="textWrapping"/>
            </w:r>
            <w:r>
              <w:rPr>
                <w:rFonts w:hint="eastAsia" w:ascii="宋体" w:hAnsi="宋体" w:cs="宋体"/>
                <w:color w:val="000000"/>
                <w:sz w:val="20"/>
              </w:rPr>
              <w:t>5.网关所有端口均具有±15KV ESD，10/700us 波形浪涌 6KV，8/20us 波形浪涌 2KV；</w:t>
            </w:r>
            <w:r>
              <w:rPr>
                <w:rFonts w:hint="eastAsia" w:ascii="宋体" w:hAnsi="宋体" w:cs="宋体"/>
                <w:color w:val="000000"/>
                <w:sz w:val="20"/>
              </w:rPr>
              <w:br w:type="textWrapping"/>
            </w:r>
            <w:r>
              <w:rPr>
                <w:rFonts w:hint="eastAsia" w:ascii="宋体" w:hAnsi="宋体" w:cs="宋体"/>
                <w:color w:val="000000"/>
                <w:sz w:val="20"/>
              </w:rPr>
              <w:t>6.内置监控采集软件，支持应用级HA，不依赖第三方软件</w:t>
            </w:r>
            <w:r>
              <w:rPr>
                <w:rFonts w:hint="eastAsia" w:ascii="宋体" w:hAnsi="宋体" w:cs="宋体"/>
                <w:color w:val="000000"/>
                <w:sz w:val="20"/>
              </w:rPr>
              <w:br w:type="textWrapping"/>
            </w:r>
            <w:r>
              <w:rPr>
                <w:rFonts w:hint="eastAsia" w:ascii="宋体" w:hAnsi="宋体" w:cs="宋体"/>
                <w:color w:val="000000"/>
                <w:sz w:val="20"/>
              </w:rPr>
              <w:t>7.★提供设备图片和产品手册，提供检测报告证书</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台</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1728"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25</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嵌入式采集器</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1.标准1U机架式数据采集器，工业级 I.MX6ULL Cortex-A7 单核处理器，800MHz 主频；512MB DDR3L工业级内存；8GB 存储，采用嵌入式Linux系统，内嵌WEB服务，支持远程IE访问。</w:t>
            </w:r>
            <w:r>
              <w:rPr>
                <w:rFonts w:hint="eastAsia" w:ascii="宋体" w:hAnsi="宋体" w:cs="宋体"/>
                <w:color w:val="000000"/>
                <w:sz w:val="18"/>
                <w:szCs w:val="18"/>
              </w:rPr>
              <w:br w:type="textWrapping"/>
            </w:r>
            <w:r>
              <w:rPr>
                <w:rFonts w:hint="eastAsia" w:ascii="宋体" w:hAnsi="宋体" w:cs="宋体"/>
                <w:color w:val="000000"/>
                <w:sz w:val="18"/>
                <w:szCs w:val="18"/>
              </w:rPr>
              <w:t>2.★数据采集器要求具有以下接口（需提供样机或产品彩页核对接口）：8路RS485，RJ45接口，其中1、2路复用，其他独立通讯信道；7、8路可以RS232/RS485跳帽切换，带POE远程供电，12路DI，RJ45接口；4路DO，RJ45接口，可自由切换常开常闭；DI,DO,RS485接口均可提供12V,最高500mA DC供电；USB*2，所有接口带POE远程供电。另有2路独立的12V/1A，电源输出；具有双路电源供电方式（AC110-220V&amp;DC204-280V供电）。</w:t>
            </w:r>
            <w:r>
              <w:rPr>
                <w:rFonts w:hint="eastAsia" w:ascii="宋体" w:hAnsi="宋体" w:cs="宋体"/>
                <w:color w:val="000000"/>
                <w:sz w:val="18"/>
                <w:szCs w:val="18"/>
              </w:rPr>
              <w:br w:type="textWrapping"/>
            </w:r>
            <w:r>
              <w:rPr>
                <w:rFonts w:hint="eastAsia" w:ascii="宋体" w:hAnsi="宋体" w:cs="宋体"/>
                <w:color w:val="000000"/>
                <w:sz w:val="18"/>
                <w:szCs w:val="18"/>
              </w:rPr>
              <w:t>3.不低于2路百兆网口；可选配4G模块；</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台</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5666"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26</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数据中心综合管理软件</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1.基础设施管理系统应以2D可视化为主的界面上实现对机房动力、环境、安防、消防监控管理功能，前端HTML5技术实现，无需第三方插件，完成统一的展示风格；</w:t>
            </w:r>
            <w:r>
              <w:rPr>
                <w:rFonts w:hint="eastAsia" w:ascii="宋体" w:hAnsi="宋体" w:cs="宋体"/>
                <w:color w:val="000000"/>
                <w:sz w:val="18"/>
                <w:szCs w:val="18"/>
              </w:rPr>
              <w:br w:type="textWrapping"/>
            </w:r>
            <w:r>
              <w:rPr>
                <w:rFonts w:hint="eastAsia" w:ascii="宋体" w:hAnsi="宋体" w:cs="宋体"/>
                <w:color w:val="000000"/>
                <w:sz w:val="18"/>
                <w:szCs w:val="18"/>
              </w:rPr>
              <w:t>2★系统应内置组态工具，通过图形化脚本的方式，来实现对各数据间相关性的策略制定，便于运维人员根据其个性化需要，通过各种运算策略（包括但不限于算术运算、关系运算、逻辑运算、条件运算等）自由编写策略，组态编辑过程需在B/S浏览器端完成，提高系统交付部署效率，具有完整图元和运算逻辑，要求工具简单、易用。需提供系统页面截图证明。</w:t>
            </w:r>
            <w:r>
              <w:rPr>
                <w:rFonts w:hint="eastAsia" w:ascii="宋体" w:hAnsi="宋体" w:cs="宋体"/>
                <w:color w:val="000000"/>
                <w:sz w:val="18"/>
                <w:szCs w:val="18"/>
              </w:rPr>
              <w:br w:type="textWrapping"/>
            </w:r>
            <w:r>
              <w:rPr>
                <w:rFonts w:hint="eastAsia" w:ascii="宋体" w:hAnsi="宋体" w:cs="宋体"/>
                <w:color w:val="000000"/>
                <w:sz w:val="18"/>
                <w:szCs w:val="18"/>
              </w:rPr>
              <w:t>3.系统须支持隐藏导航栏功能，提升可视面积；功能导航栏须支持用户自定义一二级菜单和排序设置，导航栏菜单修改在浏览器中完成</w:t>
            </w:r>
            <w:r>
              <w:rPr>
                <w:rFonts w:hint="eastAsia" w:ascii="宋体" w:hAnsi="宋体" w:cs="宋体"/>
                <w:color w:val="000000"/>
                <w:sz w:val="18"/>
                <w:szCs w:val="18"/>
              </w:rPr>
              <w:br w:type="textWrapping"/>
            </w:r>
            <w:r>
              <w:rPr>
                <w:rFonts w:hint="eastAsia" w:ascii="宋体" w:hAnsi="宋体" w:cs="宋体"/>
                <w:color w:val="000000"/>
                <w:sz w:val="18"/>
                <w:szCs w:val="18"/>
              </w:rPr>
              <w:t>4.首页采用DashBoard驾驶舱展示方式，仪表盘组件包括不限于视频监控、门禁管理、告警内容列表、PUE及能耗分配、资产统计、安全告警、配电监控等，组件位置、大小支持个性化设置。</w:t>
            </w:r>
            <w:r>
              <w:rPr>
                <w:rFonts w:hint="eastAsia" w:ascii="宋体" w:hAnsi="宋体" w:cs="宋体"/>
                <w:color w:val="000000"/>
                <w:sz w:val="18"/>
                <w:szCs w:val="18"/>
              </w:rPr>
              <w:br w:type="textWrapping"/>
            </w:r>
            <w:r>
              <w:rPr>
                <w:rFonts w:hint="eastAsia" w:ascii="宋体" w:hAnsi="宋体" w:cs="宋体"/>
                <w:color w:val="000000"/>
                <w:sz w:val="18"/>
                <w:szCs w:val="18"/>
              </w:rPr>
              <w:t>5.统计报表：系统应提供统一的报表展示和查询功能，用户可通过B/S访问方式，按不同维度进行报表的浏览、查询、查看、导出等操作，支持报表自定义开发和自动转发。</w:t>
            </w:r>
            <w:r>
              <w:rPr>
                <w:rFonts w:hint="eastAsia" w:ascii="宋体" w:hAnsi="宋体" w:cs="宋体"/>
                <w:color w:val="000000"/>
                <w:sz w:val="18"/>
                <w:szCs w:val="18"/>
              </w:rPr>
              <w:br w:type="textWrapping"/>
            </w:r>
            <w:r>
              <w:rPr>
                <w:rFonts w:hint="eastAsia" w:ascii="宋体" w:hAnsi="宋体" w:cs="宋体"/>
                <w:color w:val="000000"/>
                <w:sz w:val="18"/>
                <w:szCs w:val="18"/>
              </w:rPr>
              <w:t>6.数据管理：平台须能够监控到指定设备的实时状态信息，支持自定义采样频率。可按设定时间间隔周期存储、按信号值波动变化量存储；要求数据具备备份功能。</w:t>
            </w:r>
            <w:r>
              <w:rPr>
                <w:rFonts w:hint="eastAsia" w:ascii="宋体" w:hAnsi="宋体" w:cs="宋体"/>
                <w:color w:val="000000"/>
                <w:sz w:val="18"/>
                <w:szCs w:val="18"/>
              </w:rPr>
              <w:br w:type="textWrapping"/>
            </w:r>
            <w:r>
              <w:rPr>
                <w:rFonts w:hint="eastAsia" w:ascii="宋体" w:hAnsi="宋体" w:cs="宋体"/>
                <w:color w:val="000000"/>
                <w:sz w:val="18"/>
                <w:szCs w:val="18"/>
              </w:rPr>
              <w:t>7.权限管理：支持用户自行注册，用户管理可以修改姓名、部门、邮箱、以及电话等信息。具备角色管理功能，可创建不同角色快速赋予用户，可分配权限类型包括但不限于以下内容：授权用户、授权站点、授权设备类型、授权操作、授权模块等。</w:t>
            </w:r>
            <w:r>
              <w:rPr>
                <w:rFonts w:hint="eastAsia" w:ascii="宋体" w:hAnsi="宋体" w:cs="宋体"/>
                <w:color w:val="000000"/>
                <w:sz w:val="18"/>
                <w:szCs w:val="18"/>
              </w:rPr>
              <w:br w:type="textWrapping"/>
            </w:r>
            <w:r>
              <w:rPr>
                <w:rFonts w:hint="eastAsia" w:ascii="宋体" w:hAnsi="宋体" w:cs="宋体"/>
                <w:color w:val="000000"/>
                <w:sz w:val="18"/>
                <w:szCs w:val="18"/>
              </w:rPr>
              <w:t>8.联动管理：系统应具备联动控制功能，无需外置硬件设备，无需编程，实现不同监控设备或不同子系统间联动控制功能，如消防告警联动天窗打开功能、重要告警联动声光告警器等功能。</w:t>
            </w:r>
            <w:r>
              <w:rPr>
                <w:rFonts w:hint="eastAsia" w:ascii="宋体" w:hAnsi="宋体" w:cs="宋体"/>
                <w:color w:val="000000"/>
                <w:sz w:val="18"/>
                <w:szCs w:val="18"/>
              </w:rPr>
              <w:br w:type="textWrapping"/>
            </w:r>
            <w:r>
              <w:rPr>
                <w:rFonts w:hint="eastAsia" w:ascii="宋体" w:hAnsi="宋体" w:cs="宋体"/>
                <w:color w:val="000000"/>
                <w:sz w:val="18"/>
                <w:szCs w:val="18"/>
              </w:rPr>
              <w:t>9.系统须具有Android系统和IOS系统移动APP功能，满足在线查看、告警通知、运维工单、门禁管理、视频管理等功能需求。</w:t>
            </w:r>
            <w:r>
              <w:rPr>
                <w:rFonts w:hint="eastAsia" w:ascii="宋体" w:hAnsi="宋体" w:cs="宋体"/>
                <w:color w:val="000000"/>
                <w:sz w:val="18"/>
                <w:szCs w:val="18"/>
              </w:rPr>
              <w:br w:type="textWrapping"/>
            </w:r>
            <w:r>
              <w:rPr>
                <w:rFonts w:hint="eastAsia" w:ascii="宋体" w:hAnsi="宋体" w:cs="宋体"/>
                <w:color w:val="000000"/>
                <w:sz w:val="18"/>
                <w:szCs w:val="18"/>
              </w:rPr>
              <w:t>10.系统须采用Mqtt协议完成边缘采集网关数据传输，支持订阅/发布消息驱动模式，具有数据变化上送功能，通过边缘过滤有效降低数据延迟和带宽占用。</w:t>
            </w:r>
            <w:r>
              <w:rPr>
                <w:rFonts w:hint="eastAsia" w:ascii="宋体" w:hAnsi="宋体" w:cs="宋体"/>
                <w:color w:val="000000"/>
                <w:sz w:val="18"/>
                <w:szCs w:val="18"/>
              </w:rPr>
              <w:br w:type="textWrapping"/>
            </w:r>
            <w:r>
              <w:rPr>
                <w:rFonts w:hint="eastAsia" w:ascii="宋体" w:hAnsi="宋体" w:cs="宋体"/>
                <w:color w:val="000000"/>
                <w:sz w:val="18"/>
                <w:szCs w:val="18"/>
              </w:rPr>
              <w:t>11.★系统开放用户对Modbus、SNMP及I/O等设备的通信协议开发，通过界面化视图实现协议的开发，无需系统厂家介入即可完成新设备协议的开发，提供设备协议库制作界面。</w:t>
            </w:r>
            <w:r>
              <w:rPr>
                <w:rFonts w:hint="eastAsia" w:ascii="宋体" w:hAnsi="宋体" w:cs="宋体"/>
                <w:color w:val="000000"/>
                <w:sz w:val="18"/>
                <w:szCs w:val="18"/>
              </w:rPr>
              <w:br w:type="textWrapping"/>
            </w:r>
            <w:r>
              <w:rPr>
                <w:rFonts w:hint="eastAsia" w:ascii="宋体" w:hAnsi="宋体" w:cs="宋体"/>
                <w:color w:val="000000"/>
                <w:sz w:val="18"/>
                <w:szCs w:val="18"/>
              </w:rPr>
              <w:t>12.★要求系统具备在线式配置平台，可提前预配置项目查看界面效果，并可直接导出配置至生产现场，提高配置效率，避免后期频繁回滚更改，需提供系统页面截图证明。</w:t>
            </w:r>
            <w:r>
              <w:rPr>
                <w:rFonts w:hint="eastAsia" w:ascii="宋体" w:hAnsi="宋体" w:cs="宋体"/>
                <w:color w:val="000000"/>
                <w:sz w:val="18"/>
                <w:szCs w:val="18"/>
              </w:rPr>
              <w:br w:type="textWrapping"/>
            </w:r>
            <w:r>
              <w:rPr>
                <w:rFonts w:hint="eastAsia" w:ascii="宋体" w:hAnsi="宋体" w:cs="宋体"/>
                <w:color w:val="000000"/>
                <w:sz w:val="18"/>
                <w:szCs w:val="18"/>
              </w:rPr>
              <w:t>13.设备监控采用树形结构方式，能直观呈现机房站点和设备的告警状态。</w:t>
            </w:r>
            <w:r>
              <w:rPr>
                <w:rFonts w:hint="eastAsia" w:ascii="宋体" w:hAnsi="宋体" w:cs="宋体"/>
                <w:color w:val="000000"/>
                <w:sz w:val="18"/>
                <w:szCs w:val="18"/>
              </w:rPr>
              <w:br w:type="textWrapping"/>
            </w:r>
            <w:r>
              <w:rPr>
                <w:rFonts w:hint="eastAsia" w:ascii="宋体" w:hAnsi="宋体" w:cs="宋体"/>
                <w:color w:val="000000"/>
                <w:sz w:val="18"/>
                <w:szCs w:val="18"/>
              </w:rPr>
              <w:t>14.★通过逐级选择实现设备详细数据的查看，设备监控页面提供设备概览组态界面，以图形化的方式展现设备关键监控数据，并可查看设备实时数据、事件告警、控制命令、实时曲线等。需提供系统页面截图证明。</w:t>
            </w:r>
            <w:r>
              <w:rPr>
                <w:rFonts w:hint="eastAsia" w:ascii="宋体" w:hAnsi="宋体" w:cs="宋体"/>
                <w:color w:val="000000"/>
                <w:sz w:val="18"/>
                <w:szCs w:val="18"/>
              </w:rPr>
              <w:br w:type="textWrapping"/>
            </w:r>
            <w:r>
              <w:rPr>
                <w:rFonts w:hint="eastAsia" w:ascii="宋体" w:hAnsi="宋体" w:cs="宋体"/>
                <w:color w:val="000000"/>
                <w:sz w:val="18"/>
                <w:szCs w:val="18"/>
              </w:rPr>
              <w:t>15.★础设施管理厂商须提供数据中心综合管理系统（DCIM）计算机软件著作权登记证书，需提供证明文件。</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套</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1080"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27</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数据中心综合管理软件-告警管理</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1.★系统告警支持邮件、多媒体语音，支持扩展微信、短信告警、电话语音和现场声光告警等方式实现通知，支持平安信息定时发送；需要提供系统页面截图证明</w:t>
            </w:r>
            <w:r>
              <w:rPr>
                <w:rFonts w:hint="eastAsia" w:ascii="宋体" w:hAnsi="宋体" w:cs="宋体"/>
                <w:color w:val="000000"/>
                <w:sz w:val="18"/>
                <w:szCs w:val="18"/>
              </w:rPr>
              <w:br w:type="textWrapping"/>
            </w:r>
            <w:r>
              <w:rPr>
                <w:rFonts w:hint="eastAsia" w:ascii="宋体" w:hAnsi="宋体" w:cs="宋体"/>
                <w:color w:val="000000"/>
                <w:sz w:val="18"/>
                <w:szCs w:val="18"/>
              </w:rPr>
              <w:t>2.提供告警门户界面，可根据要求显示各个等级告警和告警状态，显示告警级别分布饼图，可显示告警持续时间。</w:t>
            </w:r>
            <w:r>
              <w:rPr>
                <w:rFonts w:hint="eastAsia" w:ascii="宋体" w:hAnsi="宋体" w:cs="宋体"/>
                <w:color w:val="000000"/>
                <w:sz w:val="18"/>
                <w:szCs w:val="18"/>
              </w:rPr>
              <w:br w:type="textWrapping"/>
            </w:r>
            <w:r>
              <w:rPr>
                <w:rFonts w:hint="eastAsia" w:ascii="宋体" w:hAnsi="宋体" w:cs="宋体"/>
                <w:color w:val="000000"/>
                <w:sz w:val="18"/>
                <w:szCs w:val="18"/>
              </w:rPr>
              <w:t>3.要求可以在WEB浏览端对报警进行设置管理。</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套</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1296"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28</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数据中心综合管理软件-机历簿</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1.系统具备机历薄功能，满足用户对设备配置信息的查询或修改需要，支持设备维护记录和告警记录查询功能，实现设备的维护历史、告警历史等全生命周期的管理。</w:t>
            </w:r>
            <w:r>
              <w:rPr>
                <w:rFonts w:hint="eastAsia" w:ascii="宋体" w:hAnsi="宋体" w:cs="宋体"/>
                <w:color w:val="000000"/>
                <w:sz w:val="18"/>
                <w:szCs w:val="18"/>
              </w:rPr>
              <w:br w:type="textWrapping"/>
            </w:r>
            <w:r>
              <w:rPr>
                <w:rFonts w:hint="eastAsia" w:ascii="宋体" w:hAnsi="宋体" w:cs="宋体"/>
                <w:color w:val="000000"/>
                <w:sz w:val="18"/>
                <w:szCs w:val="18"/>
              </w:rPr>
              <w:t>2.★机历簿对每个设备都建立一个完备的档案，可以查看设备详细参数：包括产品型号、厂家、购买日期、投产日期、维保周期、维保信息等，记录设备采购、使用、故障和维修信息，对设备生命周期内的历史数据和信息一目了然地呈现。结合知识库完成资料关联。请投标方提供系统页面截图证明。</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套</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2592"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29</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数据中心综合管理软件-2D可视化</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根据监控系统的功能以及监控对象的调整和变化，要求系统软件应能够达到用户级的组态功能，分为界面组态、监控点组态。系统支持2D组态，提供可配置组态工具，组态配置应在浏览器上进行配置，支持应用界面组态与业务逻辑的快速组态化构建，以各类列表、饼图、曲线图、雷达图、柱状图、仪表盘图形化展示。</w:t>
            </w:r>
            <w:r>
              <w:rPr>
                <w:rFonts w:hint="eastAsia" w:ascii="宋体" w:hAnsi="宋体" w:cs="宋体"/>
                <w:color w:val="000000"/>
                <w:sz w:val="18"/>
                <w:szCs w:val="18"/>
              </w:rPr>
              <w:br w:type="textWrapping"/>
            </w:r>
            <w:r>
              <w:rPr>
                <w:rFonts w:hint="eastAsia" w:ascii="宋体" w:hAnsi="宋体" w:cs="宋体"/>
                <w:color w:val="000000"/>
                <w:sz w:val="18"/>
                <w:szCs w:val="18"/>
              </w:rPr>
              <w:t>2.系统支持组态页面展示，包含各种组态标准功能，界面组态包含基础设施管理告警统计（告警总量统计、告警分等级统计）、资产信息概览（资产汇总、客户资产组件、异常的在线资产数量）、能效信息（PUE及能耗分布、温度与 PUE 曲线组件）、配电信息汇总、容量现状分析，各组态应用可根据业务应用灵活选择。</w:t>
            </w:r>
            <w:r>
              <w:rPr>
                <w:rFonts w:hint="eastAsia" w:ascii="宋体" w:hAnsi="宋体" w:cs="宋体"/>
                <w:color w:val="000000"/>
                <w:sz w:val="18"/>
                <w:szCs w:val="18"/>
              </w:rPr>
              <w:br w:type="textWrapping"/>
            </w:r>
            <w:r>
              <w:rPr>
                <w:rFonts w:hint="eastAsia" w:ascii="宋体" w:hAnsi="宋体" w:cs="宋体"/>
                <w:color w:val="000000"/>
                <w:sz w:val="18"/>
                <w:szCs w:val="18"/>
              </w:rPr>
              <w:t>3.组态软件支持WEB发布，可通过 Internet / 公司内网或局域网对子系统操作进行控制与监视。</w:t>
            </w:r>
            <w:r>
              <w:rPr>
                <w:rFonts w:hint="eastAsia" w:ascii="宋体" w:hAnsi="宋体" w:cs="宋体"/>
                <w:color w:val="000000"/>
                <w:sz w:val="18"/>
                <w:szCs w:val="18"/>
              </w:rPr>
              <w:br w:type="textWrapping"/>
            </w:r>
            <w:r>
              <w:rPr>
                <w:rFonts w:hint="eastAsia" w:ascii="宋体" w:hAnsi="宋体" w:cs="宋体"/>
                <w:color w:val="000000"/>
                <w:sz w:val="18"/>
                <w:szCs w:val="18"/>
              </w:rPr>
              <w:t>4.界面组态支持根据场景应用进行布局定义，同时作为各个菜单功能入口，点击可直接链接跳转到具体基础设施管理告警、运维管理、资产管理、视频监控等展示页面，实现高效管理。</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1728"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30</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数据中心综合管理软件-多媒体语音</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1.手机APP监控软件需具备自主知识产权，须独立提供国家版权局颁发的《计算机软件著作权登记证书》，与环境监控系统软件为同一品牌；</w:t>
            </w:r>
            <w:r>
              <w:rPr>
                <w:rFonts w:hint="eastAsia" w:ascii="宋体" w:hAnsi="宋体" w:cs="宋体"/>
                <w:color w:val="000000"/>
                <w:sz w:val="18"/>
                <w:szCs w:val="18"/>
              </w:rPr>
              <w:br w:type="textWrapping"/>
            </w:r>
            <w:r>
              <w:rPr>
                <w:rFonts w:hint="eastAsia" w:ascii="宋体" w:hAnsi="宋体" w:cs="宋体"/>
                <w:color w:val="000000"/>
                <w:sz w:val="18"/>
                <w:szCs w:val="18"/>
              </w:rPr>
              <w:t>2.具备同时支持最新的Android移动操作系统和苹果IOS移动操作系统的APP客户端，可在APP Store上直接搜索投标品牌即可下载安装客户端（要求现场实际操作验证或提供界面截图）。</w:t>
            </w:r>
            <w:r>
              <w:rPr>
                <w:rFonts w:hint="eastAsia" w:ascii="宋体" w:hAnsi="宋体" w:cs="宋体"/>
                <w:color w:val="000000"/>
                <w:sz w:val="18"/>
                <w:szCs w:val="18"/>
              </w:rPr>
              <w:br w:type="textWrapping"/>
            </w:r>
            <w:r>
              <w:rPr>
                <w:rFonts w:hint="eastAsia" w:ascii="宋体" w:hAnsi="宋体" w:cs="宋体"/>
                <w:color w:val="000000"/>
                <w:sz w:val="18"/>
                <w:szCs w:val="18"/>
              </w:rPr>
              <w:t>3.可在智能手机和平板电脑上查看、管理监控系统，管理人员无需进入监控中心，只需远程通过平板电脑或手机等移动设备登陆监控系统即可实时掌握数据中心相关设备的运行状态参数及环境情况，具有实时数据监测、历史记录、报警事件、操作记录、门禁控制、视频查看、振动报警和权限管理等功能，以实现人性化管理。</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r>
        <w:tblPrEx>
          <w:tblCellMar>
            <w:top w:w="0" w:type="dxa"/>
            <w:left w:w="108" w:type="dxa"/>
            <w:bottom w:w="0" w:type="dxa"/>
            <w:right w:w="108" w:type="dxa"/>
          </w:tblCellMar>
        </w:tblPrEx>
        <w:trPr>
          <w:trHeight w:val="864" w:hRule="atLeast"/>
        </w:trPr>
        <w:tc>
          <w:tcPr>
            <w:tcW w:w="492"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31</w:t>
            </w:r>
          </w:p>
        </w:tc>
        <w:tc>
          <w:tcPr>
            <w:tcW w:w="73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数据中心综合管理软件-邮件告警</w:t>
            </w:r>
          </w:p>
        </w:tc>
        <w:tc>
          <w:tcPr>
            <w:tcW w:w="2750"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18"/>
                <w:szCs w:val="18"/>
              </w:rPr>
            </w:pPr>
            <w:r>
              <w:rPr>
                <w:rFonts w:hint="eastAsia" w:ascii="宋体" w:hAnsi="宋体" w:cs="宋体"/>
                <w:color w:val="000000"/>
                <w:sz w:val="18"/>
                <w:szCs w:val="18"/>
              </w:rPr>
              <w:t>1.通过对接既有邮件你服务器实现系统的邮件告警功能</w:t>
            </w:r>
            <w:r>
              <w:rPr>
                <w:rFonts w:hint="eastAsia" w:ascii="宋体" w:hAnsi="宋体" w:cs="宋体"/>
                <w:color w:val="000000"/>
                <w:sz w:val="18"/>
                <w:szCs w:val="18"/>
              </w:rPr>
              <w:br w:type="textWrapping"/>
            </w:r>
            <w:r>
              <w:rPr>
                <w:rFonts w:hint="eastAsia" w:ascii="宋体" w:hAnsi="宋体" w:cs="宋体"/>
                <w:color w:val="000000"/>
                <w:sz w:val="18"/>
                <w:szCs w:val="18"/>
              </w:rPr>
              <w:t>2.设置不同报警等级及不同设备类型告警通过邮件发送给相应的管理人员，可发送多组多个邮件接收人,进行邮件通知；</w:t>
            </w:r>
            <w:r>
              <w:rPr>
                <w:rFonts w:hint="eastAsia" w:ascii="宋体" w:hAnsi="宋体" w:cs="宋体"/>
                <w:color w:val="000000"/>
                <w:sz w:val="18"/>
                <w:szCs w:val="18"/>
              </w:rPr>
              <w:br w:type="textWrapping"/>
            </w:r>
            <w:r>
              <w:rPr>
                <w:rFonts w:hint="eastAsia" w:ascii="宋体" w:hAnsi="宋体" w:cs="宋体"/>
                <w:color w:val="000000"/>
                <w:sz w:val="18"/>
                <w:szCs w:val="18"/>
              </w:rPr>
              <w:t>3.具备定时发送平安邮件功能。</w:t>
            </w:r>
          </w:p>
        </w:tc>
        <w:tc>
          <w:tcPr>
            <w:tcW w:w="404"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项</w:t>
            </w:r>
          </w:p>
        </w:tc>
        <w:tc>
          <w:tcPr>
            <w:tcW w:w="618"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0"/>
              </w:rPr>
            </w:pPr>
            <w:r>
              <w:rPr>
                <w:rFonts w:hint="eastAsia" w:ascii="宋体" w:hAnsi="宋体" w:cs="宋体"/>
                <w:color w:val="000000"/>
                <w:sz w:val="20"/>
              </w:rPr>
              <w:t>1</w:t>
            </w:r>
          </w:p>
        </w:tc>
      </w:tr>
    </w:tbl>
    <w:p/>
    <w:p/>
    <w:p/>
    <w:p>
      <w:pPr>
        <w:pStyle w:val="2"/>
      </w:pPr>
    </w:p>
    <w:p>
      <w:pPr>
        <w:pStyle w:val="2"/>
      </w:pPr>
    </w:p>
    <w:p>
      <w:pPr>
        <w:pStyle w:val="2"/>
      </w:pPr>
    </w:p>
    <w:p>
      <w:pPr>
        <w:pStyle w:val="2"/>
      </w:pPr>
    </w:p>
    <w:p>
      <w:pPr>
        <w:pStyle w:val="2"/>
      </w:pPr>
    </w:p>
    <w:p>
      <w:pPr>
        <w:pStyle w:val="2"/>
      </w:pPr>
    </w:p>
    <w:p>
      <w:pPr>
        <w:pStyle w:val="2"/>
      </w:pPr>
    </w:p>
    <w:p>
      <w:pPr>
        <w:pStyle w:val="2"/>
      </w:pPr>
    </w:p>
    <w:p>
      <w:pPr>
        <w:pStyle w:val="2"/>
        <w:outlineLvl w:val="1"/>
        <w:rPr>
          <w:rFonts w:hAnsi="宋体" w:cs="宋体"/>
          <w:color w:val="000000"/>
          <w:sz w:val="24"/>
        </w:rPr>
      </w:pPr>
      <w:r>
        <w:rPr>
          <w:rFonts w:hint="eastAsia" w:hAnsi="宋体" w:cs="宋体"/>
          <w:color w:val="000000"/>
          <w:sz w:val="24"/>
        </w:rPr>
        <w:t>3、弱电间改造要求</w:t>
      </w:r>
    </w:p>
    <w:tbl>
      <w:tblPr>
        <w:tblStyle w:val="21"/>
        <w:tblW w:w="4998" w:type="pct"/>
        <w:tblInd w:w="0" w:type="dxa"/>
        <w:tblLayout w:type="autofit"/>
        <w:tblCellMar>
          <w:top w:w="0" w:type="dxa"/>
          <w:left w:w="108" w:type="dxa"/>
          <w:bottom w:w="0" w:type="dxa"/>
          <w:right w:w="108" w:type="dxa"/>
        </w:tblCellMar>
      </w:tblPr>
      <w:tblGrid>
        <w:gridCol w:w="374"/>
        <w:gridCol w:w="500"/>
        <w:gridCol w:w="7789"/>
        <w:gridCol w:w="375"/>
        <w:gridCol w:w="533"/>
      </w:tblGrid>
      <w:tr>
        <w:tblPrEx>
          <w:tblCellMar>
            <w:top w:w="0" w:type="dxa"/>
            <w:left w:w="108" w:type="dxa"/>
            <w:bottom w:w="0" w:type="dxa"/>
            <w:right w:w="108" w:type="dxa"/>
          </w:tblCellMar>
        </w:tblPrEx>
        <w:trPr>
          <w:trHeight w:val="312" w:hRule="atLeast"/>
        </w:trPr>
        <w:tc>
          <w:tcPr>
            <w:tcW w:w="457"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序号</w:t>
            </w:r>
          </w:p>
        </w:tc>
        <w:tc>
          <w:tcPr>
            <w:tcW w:w="457"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指标项</w:t>
            </w:r>
          </w:p>
        </w:tc>
        <w:tc>
          <w:tcPr>
            <w:tcW w:w="3171"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技术需求</w:t>
            </w:r>
          </w:p>
        </w:tc>
        <w:tc>
          <w:tcPr>
            <w:tcW w:w="457"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单位</w:t>
            </w:r>
          </w:p>
        </w:tc>
        <w:tc>
          <w:tcPr>
            <w:tcW w:w="457" w:type="pct"/>
            <w:tcBorders>
              <w:top w:val="single" w:color="000000" w:sz="4" w:space="0"/>
              <w:left w:val="single" w:color="000000" w:sz="4" w:space="0"/>
              <w:bottom w:val="single" w:color="000000" w:sz="4" w:space="0"/>
              <w:right w:val="single" w:color="000000" w:sz="4" w:space="0"/>
            </w:tcBorders>
            <w:shd w:val="clear" w:color="auto" w:fill="99CCFF"/>
            <w:noWrap/>
            <w:vAlign w:val="center"/>
          </w:tcPr>
          <w:p>
            <w:pPr>
              <w:widowControl/>
              <w:jc w:val="center"/>
              <w:textAlignment w:val="center"/>
              <w:rPr>
                <w:rFonts w:ascii="宋体" w:hAnsi="宋体" w:cs="宋体"/>
                <w:b/>
                <w:bCs/>
                <w:color w:val="000000"/>
                <w:sz w:val="20"/>
              </w:rPr>
            </w:pPr>
            <w:r>
              <w:rPr>
                <w:rFonts w:hint="eastAsia" w:ascii="宋体" w:hAnsi="宋体" w:cs="宋体"/>
                <w:b/>
                <w:bCs/>
                <w:color w:val="000000"/>
                <w:sz w:val="20"/>
              </w:rPr>
              <w:t>需求数量</w:t>
            </w:r>
          </w:p>
        </w:tc>
      </w:tr>
      <w:tr>
        <w:tblPrEx>
          <w:tblCellMar>
            <w:top w:w="0" w:type="dxa"/>
            <w:left w:w="108" w:type="dxa"/>
            <w:bottom w:w="0" w:type="dxa"/>
            <w:right w:w="108" w:type="dxa"/>
          </w:tblCellMar>
        </w:tblPrEx>
        <w:trPr>
          <w:trHeight w:val="2184" w:hRule="atLeast"/>
        </w:trPr>
        <w:tc>
          <w:tcPr>
            <w:tcW w:w="45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1</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rPr>
              <w:t>弱电间</w:t>
            </w:r>
          </w:p>
        </w:tc>
        <w:tc>
          <w:tcPr>
            <w:tcW w:w="3171" w:type="pct"/>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sz w:val="24"/>
                <w:szCs w:val="24"/>
              </w:rPr>
              <w:t>1.对现有弱电机房进行线缆整理，对所有的线缆进行巡线操作，对损坏、不通等仍然使用线缆进行重新布线处理，对废弃线缆进行拆除处理。所有线缆需要探明双侧端口并进行标记。</w:t>
            </w:r>
            <w:r>
              <w:rPr>
                <w:rFonts w:hint="eastAsia" w:ascii="宋体" w:hAnsi="宋体" w:cs="宋体"/>
                <w:color w:val="000000"/>
                <w:sz w:val="24"/>
                <w:szCs w:val="24"/>
              </w:rPr>
              <w:br w:type="textWrapping"/>
            </w:r>
            <w:r>
              <w:rPr>
                <w:rFonts w:hint="eastAsia" w:ascii="宋体" w:hAnsi="宋体" w:cs="宋体"/>
                <w:color w:val="000000"/>
                <w:sz w:val="24"/>
                <w:szCs w:val="24"/>
              </w:rPr>
              <w:t>2.对现有弱电机房进行设备盘点，按照院方要求对设备进行处理，对继续使用的设备进行重新布线、端口标记、重新上架、重新布线等操作。</w:t>
            </w:r>
            <w:r>
              <w:rPr>
                <w:rFonts w:hint="eastAsia" w:ascii="宋体" w:hAnsi="宋体" w:cs="宋体"/>
                <w:color w:val="000000"/>
                <w:sz w:val="24"/>
                <w:szCs w:val="24"/>
              </w:rPr>
              <w:br w:type="textWrapping"/>
            </w:r>
            <w:r>
              <w:rPr>
                <w:rFonts w:hint="eastAsia" w:ascii="宋体" w:hAnsi="宋体" w:cs="宋体"/>
                <w:color w:val="000000"/>
                <w:sz w:val="24"/>
                <w:szCs w:val="24"/>
              </w:rPr>
              <w:t>3.对原有的配线架、pdu等基础设施进行更换。</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间</w:t>
            </w:r>
          </w:p>
        </w:tc>
        <w:tc>
          <w:tcPr>
            <w:tcW w:w="457" w:type="pc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sz w:val="24"/>
                <w:szCs w:val="24"/>
              </w:rPr>
              <w:t>9</w:t>
            </w:r>
          </w:p>
        </w:tc>
      </w:tr>
    </w:tbl>
    <w:p>
      <w:pPr>
        <w:rPr>
          <w:rFonts w:hint="eastAsia" w:hAnsi="宋体" w:cs="宋体"/>
          <w:color w:val="000000"/>
        </w:rPr>
      </w:pPr>
      <w:r>
        <w:rPr>
          <w:rFonts w:hint="eastAsia" w:hAnsi="宋体" w:cs="宋体"/>
          <w:color w:val="000000"/>
        </w:rPr>
        <w:br w:type="page"/>
      </w:r>
    </w:p>
    <w:p>
      <w:pPr>
        <w:pStyle w:val="3"/>
        <w:rPr>
          <w:rFonts w:hAnsi="宋体" w:cs="宋体"/>
          <w:color w:val="000000"/>
        </w:rPr>
      </w:pPr>
      <w:r>
        <w:rPr>
          <w:rFonts w:hint="eastAsia" w:hAnsi="宋体" w:cs="宋体"/>
          <w:color w:val="000000"/>
        </w:rPr>
        <w:t>五、售后要求</w:t>
      </w:r>
      <w:bookmarkEnd w:id="1"/>
    </w:p>
    <w:p>
      <w:pPr>
        <w:pStyle w:val="49"/>
        <w:spacing w:line="360" w:lineRule="auto"/>
        <w:ind w:firstLine="480"/>
        <w:rPr>
          <w:rFonts w:ascii="宋体" w:hAnsi="宋体" w:cs="宋体"/>
          <w:color w:val="000000"/>
          <w:sz w:val="24"/>
          <w:szCs w:val="32"/>
        </w:rPr>
      </w:pPr>
      <w:r>
        <w:rPr>
          <w:rFonts w:hint="eastAsia" w:ascii="宋体" w:hAnsi="宋体" w:cs="宋体"/>
          <w:color w:val="000000"/>
          <w:sz w:val="24"/>
          <w:szCs w:val="32"/>
        </w:rPr>
        <w:t>本次所采购设备的保修期为3年（如产品本身的保修期长于3年，则以产品本身的保修期限为准），期间所发生的一切费用均由论证人承担。</w:t>
      </w:r>
    </w:p>
    <w:p>
      <w:pPr>
        <w:pStyle w:val="4"/>
        <w:numPr>
          <w:ilvl w:val="1"/>
          <w:numId w:val="0"/>
        </w:numPr>
        <w:jc w:val="both"/>
        <w:rPr>
          <w:color w:val="000000"/>
        </w:rPr>
      </w:pPr>
      <w:bookmarkStart w:id="2" w:name="_Toc4143042"/>
      <w:r>
        <w:rPr>
          <w:rFonts w:hint="eastAsia"/>
          <w:color w:val="000000"/>
        </w:rPr>
        <w:t>（一）维护计划</w:t>
      </w:r>
      <w:bookmarkEnd w:id="2"/>
    </w:p>
    <w:p>
      <w:pPr>
        <w:pStyle w:val="49"/>
        <w:spacing w:line="360" w:lineRule="auto"/>
        <w:ind w:firstLine="240" w:firstLineChars="100"/>
        <w:rPr>
          <w:rFonts w:ascii="宋体" w:hAnsi="宋体" w:cs="宋体"/>
          <w:color w:val="000000"/>
          <w:sz w:val="24"/>
          <w:szCs w:val="32"/>
        </w:rPr>
      </w:pPr>
      <w:r>
        <w:rPr>
          <w:rFonts w:hint="eastAsia" w:ascii="宋体" w:hAnsi="宋体" w:cs="宋体"/>
          <w:color w:val="000000"/>
          <w:sz w:val="24"/>
          <w:szCs w:val="32"/>
        </w:rPr>
        <w:t>1、服务范畴：此次采购设备维护；</w:t>
      </w:r>
    </w:p>
    <w:p>
      <w:pPr>
        <w:pStyle w:val="49"/>
        <w:spacing w:line="360" w:lineRule="auto"/>
        <w:ind w:firstLine="240" w:firstLineChars="100"/>
        <w:rPr>
          <w:rFonts w:ascii="宋体" w:hAnsi="宋体" w:cs="宋体"/>
          <w:color w:val="000000"/>
          <w:sz w:val="24"/>
          <w:szCs w:val="32"/>
        </w:rPr>
      </w:pPr>
      <w:r>
        <w:rPr>
          <w:rFonts w:hint="eastAsia" w:ascii="宋体" w:hAnsi="宋体" w:cs="宋体"/>
          <w:color w:val="000000"/>
          <w:sz w:val="24"/>
          <w:szCs w:val="32"/>
        </w:rPr>
        <w:t>2、服务时间：质保3年；</w:t>
      </w:r>
    </w:p>
    <w:p>
      <w:pPr>
        <w:pStyle w:val="49"/>
        <w:spacing w:line="360" w:lineRule="auto"/>
        <w:ind w:firstLine="240" w:firstLineChars="100"/>
        <w:rPr>
          <w:rFonts w:ascii="宋体" w:hAnsi="宋体" w:cs="宋体"/>
          <w:color w:val="000000"/>
          <w:sz w:val="24"/>
          <w:szCs w:val="32"/>
        </w:rPr>
      </w:pPr>
      <w:r>
        <w:rPr>
          <w:rFonts w:hint="eastAsia" w:ascii="宋体" w:hAnsi="宋体" w:cs="宋体"/>
          <w:color w:val="000000"/>
          <w:sz w:val="24"/>
          <w:szCs w:val="32"/>
        </w:rPr>
        <w:t>3、服务类型：现场服务；</w:t>
      </w:r>
    </w:p>
    <w:p>
      <w:pPr>
        <w:pStyle w:val="49"/>
        <w:spacing w:line="360" w:lineRule="auto"/>
        <w:ind w:firstLine="240" w:firstLineChars="100"/>
        <w:rPr>
          <w:rFonts w:ascii="宋体" w:hAnsi="宋体" w:cs="宋体"/>
          <w:color w:val="000000"/>
          <w:sz w:val="24"/>
          <w:szCs w:val="32"/>
        </w:rPr>
      </w:pPr>
      <w:r>
        <w:rPr>
          <w:rFonts w:hint="eastAsia" w:ascii="宋体" w:hAnsi="宋体" w:cs="宋体"/>
          <w:color w:val="000000"/>
          <w:sz w:val="24"/>
          <w:szCs w:val="32"/>
        </w:rPr>
        <w:t>4、响应时间：报修后4小时内到达现场服务；7*24小时热线电话技术支持；</w:t>
      </w:r>
    </w:p>
    <w:p>
      <w:pPr>
        <w:pStyle w:val="49"/>
        <w:spacing w:line="360" w:lineRule="auto"/>
        <w:ind w:firstLine="240" w:firstLineChars="100"/>
        <w:rPr>
          <w:rFonts w:ascii="宋体" w:hAnsi="宋体" w:cs="宋体"/>
          <w:color w:val="000000"/>
          <w:sz w:val="24"/>
          <w:szCs w:val="32"/>
        </w:rPr>
      </w:pPr>
      <w:r>
        <w:rPr>
          <w:rFonts w:hint="eastAsia" w:ascii="宋体" w:hAnsi="宋体" w:cs="宋体"/>
          <w:color w:val="000000"/>
          <w:sz w:val="24"/>
          <w:szCs w:val="32"/>
        </w:rPr>
        <w:t>5、每年巡检次数不少于四次；</w:t>
      </w:r>
    </w:p>
    <w:p>
      <w:pPr>
        <w:pStyle w:val="4"/>
        <w:numPr>
          <w:ilvl w:val="1"/>
          <w:numId w:val="0"/>
        </w:numPr>
        <w:jc w:val="both"/>
        <w:rPr>
          <w:color w:val="000000"/>
        </w:rPr>
      </w:pPr>
      <w:bookmarkStart w:id="3" w:name="_Toc4143043"/>
      <w:r>
        <w:rPr>
          <w:rFonts w:hint="eastAsia"/>
          <w:color w:val="000000"/>
        </w:rPr>
        <w:t>（二）安装、调试</w:t>
      </w:r>
      <w:bookmarkEnd w:id="3"/>
      <w:r>
        <w:rPr>
          <w:rFonts w:hint="eastAsia"/>
          <w:color w:val="000000"/>
        </w:rPr>
        <w:t>及培训</w:t>
      </w:r>
    </w:p>
    <w:p>
      <w:pPr>
        <w:pStyle w:val="49"/>
        <w:spacing w:line="360" w:lineRule="auto"/>
        <w:ind w:firstLine="480"/>
        <w:rPr>
          <w:rFonts w:ascii="宋体" w:hAnsi="宋体" w:cs="宋体"/>
          <w:color w:val="000000"/>
          <w:sz w:val="24"/>
          <w:szCs w:val="32"/>
        </w:rPr>
      </w:pPr>
      <w:r>
        <w:rPr>
          <w:rFonts w:hint="eastAsia" w:ascii="宋体" w:hAnsi="宋体" w:cs="宋体"/>
          <w:color w:val="000000"/>
          <w:sz w:val="24"/>
          <w:szCs w:val="32"/>
        </w:rPr>
        <w:t>1、由论证人负责免费安装、调试。所有设备安装调试成功后，论证人应向采购人提供验收标准、验收手册和验收工具，并承担相关费用。</w:t>
      </w:r>
    </w:p>
    <w:p>
      <w:pPr>
        <w:pStyle w:val="49"/>
        <w:spacing w:line="360" w:lineRule="auto"/>
        <w:ind w:firstLine="480"/>
        <w:rPr>
          <w:sz w:val="24"/>
        </w:rPr>
      </w:pPr>
      <w:r>
        <w:rPr>
          <w:rFonts w:hint="eastAsia" w:ascii="宋体" w:hAnsi="宋体" w:cs="宋体"/>
          <w:color w:val="000000"/>
          <w:sz w:val="24"/>
          <w:szCs w:val="32"/>
        </w:rPr>
        <w:t>2、论证人负责对采购人操作人员进行免费现场技术培训, 包括产品维护、故障排错、性能优化等；论证人需对培训内容、培训对象、培训时间做出计划，包括培训时间、地点、人次、方式、预计培训结果，保证采购人技术人员、操作人员掌握仪器的基本操作和日常维护。</w:t>
      </w:r>
    </w:p>
    <w:p>
      <w:pPr>
        <w:pStyle w:val="37"/>
        <w:ind w:left="0" w:leftChars="0" w:firstLine="0" w:firstLineChars="0"/>
        <w:rPr>
          <w:rFonts w:ascii="宋体"/>
          <w:b/>
          <w:bCs/>
          <w:sz w:val="36"/>
          <w:szCs w:val="36"/>
        </w:rPr>
      </w:pPr>
    </w:p>
    <w:p>
      <w:pPr>
        <w:pStyle w:val="37"/>
        <w:ind w:left="0" w:leftChars="0" w:firstLine="0" w:firstLineChars="0"/>
        <w:rPr>
          <w:rFonts w:ascii="宋体"/>
          <w:b/>
          <w:bCs/>
          <w:sz w:val="36"/>
          <w:szCs w:val="36"/>
        </w:rPr>
      </w:pPr>
    </w:p>
    <w:p>
      <w:pPr>
        <w:pStyle w:val="37"/>
        <w:ind w:left="0" w:leftChars="0" w:firstLine="0" w:firstLineChars="0"/>
        <w:rPr>
          <w:rFonts w:ascii="宋体"/>
          <w:b/>
          <w:bCs/>
          <w:sz w:val="36"/>
          <w:szCs w:val="36"/>
        </w:rPr>
      </w:pPr>
    </w:p>
    <w:p>
      <w:pPr>
        <w:pStyle w:val="37"/>
        <w:ind w:left="0" w:leftChars="0" w:firstLine="0" w:firstLineChars="0"/>
        <w:rPr>
          <w:rFonts w:ascii="宋体"/>
          <w:b/>
          <w:bCs/>
          <w:sz w:val="36"/>
          <w:szCs w:val="36"/>
        </w:rPr>
      </w:pPr>
    </w:p>
    <w:p>
      <w:pPr>
        <w:pStyle w:val="37"/>
        <w:ind w:left="0" w:leftChars="0" w:firstLine="0" w:firstLineChars="0"/>
        <w:rPr>
          <w:rFonts w:ascii="宋体"/>
          <w:b/>
          <w:bCs/>
          <w:sz w:val="36"/>
          <w:szCs w:val="36"/>
        </w:rPr>
      </w:pPr>
    </w:p>
    <w:p>
      <w:pPr>
        <w:pStyle w:val="37"/>
        <w:ind w:left="0" w:leftChars="0" w:firstLine="0" w:firstLineChars="0"/>
        <w:rPr>
          <w:rFonts w:ascii="宋体"/>
          <w:b/>
          <w:bCs/>
          <w:sz w:val="36"/>
          <w:szCs w:val="36"/>
        </w:rPr>
      </w:pPr>
    </w:p>
    <w:p>
      <w:pPr>
        <w:pStyle w:val="37"/>
        <w:ind w:left="0" w:leftChars="0" w:firstLine="0" w:firstLineChars="0"/>
        <w:rPr>
          <w:rFonts w:ascii="宋体"/>
          <w:b/>
          <w:bCs/>
          <w:sz w:val="36"/>
          <w:szCs w:val="36"/>
        </w:rPr>
      </w:pPr>
    </w:p>
    <w:p>
      <w:pPr>
        <w:pStyle w:val="37"/>
        <w:ind w:left="0" w:leftChars="0" w:firstLine="0" w:firstLineChars="0"/>
        <w:rPr>
          <w:rFonts w:ascii="宋体"/>
          <w:b/>
          <w:bCs/>
          <w:sz w:val="36"/>
          <w:szCs w:val="36"/>
        </w:rPr>
      </w:pPr>
    </w:p>
    <w:p>
      <w:pPr>
        <w:pStyle w:val="37"/>
        <w:ind w:left="0" w:leftChars="0" w:firstLine="0" w:firstLineChars="0"/>
        <w:rPr>
          <w:rFonts w:ascii="宋体"/>
          <w:b/>
          <w:bCs/>
          <w:sz w:val="36"/>
          <w:szCs w:val="36"/>
        </w:rPr>
      </w:pPr>
    </w:p>
    <w:p>
      <w:pPr>
        <w:pStyle w:val="37"/>
        <w:ind w:left="0" w:leftChars="0" w:firstLine="0" w:firstLineChars="0"/>
        <w:rPr>
          <w:rFonts w:ascii="宋体"/>
          <w:b/>
          <w:bCs/>
          <w:sz w:val="36"/>
          <w:szCs w:val="36"/>
        </w:rPr>
      </w:pPr>
    </w:p>
    <w:p>
      <w:pPr>
        <w:numPr>
          <w:ilvl w:val="0"/>
          <w:numId w:val="1"/>
        </w:numPr>
        <w:jc w:val="center"/>
        <w:rPr>
          <w:rFonts w:ascii="宋体" w:hAnsi="宋体"/>
          <w:b/>
          <w:sz w:val="36"/>
        </w:rPr>
      </w:pPr>
      <w:r>
        <w:rPr>
          <w:rFonts w:hint="eastAsia" w:ascii="宋体" w:hAnsi="宋体"/>
          <w:b/>
          <w:sz w:val="36"/>
        </w:rPr>
        <w:t>拟签订的合同文本</w:t>
      </w:r>
    </w:p>
    <w:p>
      <w:pPr>
        <w:spacing w:before="120" w:line="360" w:lineRule="auto"/>
        <w:ind w:left="960"/>
        <w:rPr>
          <w:sz w:val="24"/>
          <w:szCs w:val="24"/>
        </w:rPr>
      </w:pPr>
    </w:p>
    <w:p>
      <w:pPr>
        <w:jc w:val="center"/>
        <w:rPr>
          <w:rFonts w:ascii="宋体" w:hAnsi="宋体" w:cs="宋体"/>
          <w:b/>
          <w:sz w:val="32"/>
          <w:szCs w:val="32"/>
        </w:rPr>
      </w:pPr>
      <w:r>
        <w:rPr>
          <w:rFonts w:hint="eastAsia" w:ascii="宋体" w:hAnsi="宋体" w:cs="宋体"/>
          <w:b/>
          <w:sz w:val="32"/>
          <w:szCs w:val="32"/>
        </w:rPr>
        <w:t>技术服务合同</w:t>
      </w:r>
    </w:p>
    <w:p>
      <w:pPr>
        <w:spacing w:before="120" w:line="22" w:lineRule="atLeast"/>
        <w:ind w:left="960" w:firstLine="4760" w:firstLineChars="1700"/>
        <w:rPr>
          <w:rFonts w:ascii="宋体" w:hAnsi="宋体" w:cs="宋体"/>
          <w:sz w:val="28"/>
          <w:szCs w:val="28"/>
        </w:rPr>
      </w:pPr>
    </w:p>
    <w:p>
      <w:pPr>
        <w:spacing w:before="120" w:line="22" w:lineRule="atLeast"/>
        <w:ind w:left="960" w:firstLine="4760" w:firstLineChars="1700"/>
        <w:rPr>
          <w:rFonts w:ascii="宋体" w:hAnsi="宋体" w:cs="宋体"/>
          <w:sz w:val="28"/>
          <w:szCs w:val="28"/>
        </w:rPr>
      </w:pPr>
      <w:r>
        <w:rPr>
          <w:rFonts w:hint="eastAsia" w:ascii="宋体" w:hAnsi="宋体" w:cs="宋体"/>
          <w:sz w:val="28"/>
          <w:szCs w:val="28"/>
        </w:rPr>
        <w:t>合同号：</w:t>
      </w:r>
    </w:p>
    <w:p>
      <w:pPr>
        <w:jc w:val="center"/>
        <w:rPr>
          <w:rFonts w:ascii="宋体" w:hAnsi="宋体" w:cs="宋体"/>
          <w:b/>
          <w:sz w:val="32"/>
          <w:szCs w:val="32"/>
        </w:rPr>
      </w:pPr>
    </w:p>
    <w:p>
      <w:pPr>
        <w:pStyle w:val="6"/>
        <w:ind w:firstLine="480"/>
        <w:rPr>
          <w:rFonts w:hAnsi="宋体" w:cs="宋体"/>
          <w:szCs w:val="24"/>
        </w:rPr>
      </w:pPr>
    </w:p>
    <w:p>
      <w:pPr>
        <w:spacing w:before="120" w:line="22" w:lineRule="atLeast"/>
        <w:rPr>
          <w:rFonts w:ascii="宋体" w:hAnsi="宋体" w:cs="宋体"/>
          <w:sz w:val="24"/>
        </w:rPr>
      </w:pPr>
    </w:p>
    <w:p>
      <w:pPr>
        <w:spacing w:before="120" w:line="22" w:lineRule="atLeast"/>
        <w:ind w:left="960"/>
        <w:rPr>
          <w:sz w:val="28"/>
          <w:szCs w:val="28"/>
          <w:u w:val="single"/>
        </w:rPr>
      </w:pPr>
      <w:r>
        <w:rPr>
          <w:rFonts w:hint="eastAsia" w:ascii="宋体" w:hAnsi="宋体" w:cs="宋体"/>
          <w:sz w:val="28"/>
          <w:szCs w:val="28"/>
        </w:rPr>
        <w:t>项目名称：</w:t>
      </w:r>
    </w:p>
    <w:p>
      <w:pPr>
        <w:spacing w:before="120" w:line="22" w:lineRule="atLeast"/>
        <w:ind w:left="960"/>
        <w:rPr>
          <w:rFonts w:ascii="宋体" w:hAnsi="宋体" w:cs="宋体"/>
          <w:sz w:val="28"/>
          <w:szCs w:val="28"/>
          <w:u w:val="single"/>
        </w:rPr>
      </w:pPr>
    </w:p>
    <w:p>
      <w:pPr>
        <w:pStyle w:val="19"/>
        <w:spacing w:before="120" w:line="22" w:lineRule="atLeast"/>
        <w:rPr>
          <w:rFonts w:ascii="宋体" w:hAnsi="宋体" w:cs="宋体"/>
          <w:sz w:val="28"/>
          <w:szCs w:val="28"/>
          <w:u w:val="single"/>
        </w:rPr>
      </w:pPr>
    </w:p>
    <w:p>
      <w:pPr>
        <w:spacing w:before="120" w:line="22" w:lineRule="atLeast"/>
        <w:ind w:left="960"/>
        <w:rPr>
          <w:rFonts w:ascii="宋体" w:hAnsi="宋体" w:cs="宋体"/>
          <w:sz w:val="28"/>
          <w:szCs w:val="28"/>
          <w:u w:val="single"/>
        </w:rPr>
      </w:pPr>
    </w:p>
    <w:p>
      <w:pPr>
        <w:spacing w:before="120" w:line="22" w:lineRule="atLeast"/>
        <w:rPr>
          <w:rFonts w:ascii="宋体" w:hAnsi="宋体" w:cs="宋体"/>
          <w:sz w:val="28"/>
          <w:szCs w:val="28"/>
        </w:rPr>
      </w:pPr>
    </w:p>
    <w:p>
      <w:pPr>
        <w:spacing w:before="120" w:line="22" w:lineRule="atLeast"/>
        <w:ind w:left="960"/>
        <w:rPr>
          <w:rFonts w:ascii="宋体" w:hAnsi="宋体" w:cs="宋体"/>
          <w:sz w:val="28"/>
          <w:szCs w:val="28"/>
        </w:rPr>
      </w:pPr>
    </w:p>
    <w:p>
      <w:pPr>
        <w:spacing w:before="120" w:line="22" w:lineRule="atLeast"/>
        <w:ind w:left="960"/>
        <w:rPr>
          <w:rFonts w:ascii="宋体" w:hAnsi="宋体" w:cs="宋体"/>
          <w:sz w:val="28"/>
          <w:szCs w:val="28"/>
        </w:rPr>
      </w:pPr>
      <w:r>
        <w:rPr>
          <w:rFonts w:hint="eastAsia" w:ascii="宋体" w:hAnsi="宋体" w:cs="宋体"/>
          <w:sz w:val="28"/>
          <w:szCs w:val="28"/>
        </w:rPr>
        <w:t xml:space="preserve">买　　方： </w:t>
      </w:r>
    </w:p>
    <w:p>
      <w:pPr>
        <w:spacing w:before="120" w:line="22" w:lineRule="atLeast"/>
        <w:ind w:left="960"/>
        <w:rPr>
          <w:rFonts w:ascii="宋体" w:hAnsi="宋体" w:cs="宋体"/>
          <w:sz w:val="28"/>
          <w:szCs w:val="28"/>
        </w:rPr>
      </w:pPr>
    </w:p>
    <w:p>
      <w:pPr>
        <w:spacing w:before="120" w:line="22" w:lineRule="atLeast"/>
        <w:ind w:left="960"/>
        <w:rPr>
          <w:rFonts w:ascii="宋体" w:hAnsi="宋体" w:cs="宋体"/>
          <w:sz w:val="28"/>
          <w:szCs w:val="28"/>
          <w:u w:val="single"/>
        </w:rPr>
      </w:pPr>
      <w:r>
        <w:rPr>
          <w:rFonts w:hint="eastAsia" w:ascii="宋体" w:hAnsi="宋体" w:cs="宋体"/>
          <w:sz w:val="28"/>
          <w:szCs w:val="28"/>
        </w:rPr>
        <w:t xml:space="preserve">卖　　方：              </w:t>
      </w:r>
    </w:p>
    <w:p>
      <w:pPr>
        <w:spacing w:before="120" w:line="22" w:lineRule="atLeast"/>
        <w:rPr>
          <w:rFonts w:ascii="宋体" w:hAnsi="宋体" w:cs="宋体"/>
          <w:sz w:val="24"/>
        </w:rPr>
      </w:pPr>
    </w:p>
    <w:p>
      <w:pPr>
        <w:spacing w:before="120" w:line="22" w:lineRule="atLeast"/>
        <w:ind w:left="960"/>
        <w:jc w:val="center"/>
        <w:rPr>
          <w:rFonts w:ascii="宋体" w:hAnsi="宋体" w:cs="宋体"/>
          <w:sz w:val="24"/>
        </w:rPr>
      </w:pPr>
    </w:p>
    <w:p>
      <w:pPr>
        <w:spacing w:before="120" w:line="22" w:lineRule="atLeast"/>
        <w:ind w:firstLine="1120" w:firstLineChars="400"/>
        <w:rPr>
          <w:rFonts w:ascii="宋体" w:hAnsi="宋体" w:cs="宋体"/>
          <w:sz w:val="28"/>
          <w:szCs w:val="28"/>
          <w:u w:val="single"/>
        </w:rPr>
      </w:pPr>
      <w:r>
        <w:rPr>
          <w:rFonts w:hint="eastAsia" w:ascii="宋体" w:hAnsi="宋体" w:cs="宋体"/>
          <w:sz w:val="28"/>
          <w:szCs w:val="28"/>
        </w:rPr>
        <w:t>签署日期：</w:t>
      </w:r>
      <w:r>
        <w:rPr>
          <w:rFonts w:hint="eastAsia" w:ascii="宋体" w:hAnsi="宋体" w:cs="宋体"/>
          <w:sz w:val="28"/>
          <w:szCs w:val="28"/>
          <w:u w:val="single"/>
        </w:rPr>
        <w:t>　　　　　　　　　　　　　　　　　</w:t>
      </w:r>
    </w:p>
    <w:p>
      <w:pPr>
        <w:spacing w:line="340" w:lineRule="atLeast"/>
        <w:jc w:val="center"/>
        <w:rPr>
          <w:rFonts w:ascii="宋体" w:hAnsi="宋体"/>
          <w:b/>
          <w:sz w:val="32"/>
          <w:szCs w:val="32"/>
        </w:rPr>
      </w:pPr>
    </w:p>
    <w:p>
      <w:pPr>
        <w:spacing w:line="340" w:lineRule="atLeast"/>
        <w:jc w:val="center"/>
        <w:rPr>
          <w:rFonts w:ascii="宋体" w:hAnsi="宋体"/>
          <w:b/>
          <w:sz w:val="32"/>
          <w:szCs w:val="32"/>
        </w:rPr>
      </w:pPr>
    </w:p>
    <w:p>
      <w:pPr>
        <w:spacing w:line="340" w:lineRule="atLeast"/>
        <w:jc w:val="center"/>
        <w:rPr>
          <w:rFonts w:ascii="宋体" w:hAnsi="宋体"/>
          <w:b/>
          <w:sz w:val="32"/>
          <w:szCs w:val="32"/>
        </w:rPr>
      </w:pPr>
    </w:p>
    <w:p>
      <w:pPr>
        <w:spacing w:line="340" w:lineRule="atLeast"/>
        <w:jc w:val="center"/>
        <w:rPr>
          <w:rFonts w:ascii="宋体" w:hAnsi="宋体"/>
          <w:b/>
          <w:sz w:val="32"/>
          <w:szCs w:val="32"/>
        </w:rPr>
      </w:pPr>
    </w:p>
    <w:p>
      <w:pPr>
        <w:spacing w:line="340" w:lineRule="atLeast"/>
        <w:jc w:val="center"/>
        <w:rPr>
          <w:rFonts w:ascii="宋体" w:hAnsi="宋体"/>
          <w:b/>
          <w:sz w:val="32"/>
          <w:szCs w:val="32"/>
        </w:rPr>
      </w:pPr>
    </w:p>
    <w:p>
      <w:pPr>
        <w:spacing w:line="340" w:lineRule="atLeast"/>
        <w:jc w:val="center"/>
        <w:rPr>
          <w:rFonts w:ascii="宋体" w:hAnsi="宋体"/>
          <w:b/>
          <w:sz w:val="32"/>
          <w:szCs w:val="32"/>
        </w:rPr>
      </w:pPr>
    </w:p>
    <w:p>
      <w:pPr>
        <w:spacing w:line="340" w:lineRule="atLeast"/>
        <w:jc w:val="center"/>
        <w:rPr>
          <w:rFonts w:ascii="宋体" w:hAnsi="宋体"/>
          <w:b/>
          <w:sz w:val="32"/>
          <w:szCs w:val="32"/>
        </w:rPr>
      </w:pPr>
    </w:p>
    <w:p>
      <w:pPr>
        <w:spacing w:line="340" w:lineRule="atLeast"/>
        <w:jc w:val="center"/>
        <w:rPr>
          <w:rFonts w:ascii="宋体" w:hAnsi="宋体"/>
          <w:b/>
          <w:sz w:val="32"/>
          <w:szCs w:val="32"/>
        </w:rPr>
      </w:pPr>
    </w:p>
    <w:p>
      <w:pPr>
        <w:spacing w:line="340" w:lineRule="atLeast"/>
        <w:jc w:val="center"/>
        <w:rPr>
          <w:rFonts w:ascii="宋体" w:hAnsi="宋体"/>
          <w:b/>
          <w:sz w:val="32"/>
          <w:szCs w:val="32"/>
        </w:rPr>
      </w:pPr>
    </w:p>
    <w:p>
      <w:pPr>
        <w:spacing w:line="340" w:lineRule="atLeast"/>
        <w:rPr>
          <w:rFonts w:ascii="宋体" w:hAnsi="宋体"/>
          <w:b/>
          <w:sz w:val="32"/>
          <w:szCs w:val="32"/>
        </w:rPr>
      </w:pPr>
    </w:p>
    <w:p>
      <w:pPr>
        <w:spacing w:line="340" w:lineRule="atLeast"/>
        <w:jc w:val="center"/>
        <w:rPr>
          <w:rFonts w:ascii="宋体" w:hAnsi="宋体"/>
          <w:b/>
          <w:sz w:val="32"/>
          <w:szCs w:val="32"/>
        </w:rPr>
      </w:pPr>
      <w:r>
        <w:rPr>
          <w:rFonts w:hint="eastAsia" w:ascii="宋体" w:hAnsi="宋体"/>
          <w:b/>
          <w:sz w:val="32"/>
          <w:szCs w:val="32"/>
        </w:rPr>
        <w:t>（一）合同</w:t>
      </w:r>
    </w:p>
    <w:p>
      <w:pPr>
        <w:spacing w:line="340" w:lineRule="atLeast"/>
        <w:jc w:val="center"/>
        <w:rPr>
          <w:rFonts w:ascii="仿宋" w:hAnsi="仿宋" w:eastAsia="仿宋"/>
          <w:sz w:val="28"/>
          <w:szCs w:val="28"/>
        </w:rPr>
      </w:pPr>
    </w:p>
    <w:p>
      <w:pPr>
        <w:pStyle w:val="9"/>
        <w:spacing w:line="360" w:lineRule="auto"/>
        <w:ind w:firstLine="480" w:firstLineChars="200"/>
        <w:jc w:val="left"/>
        <w:rPr>
          <w:rFonts w:hAnsi="宋体"/>
          <w:sz w:val="24"/>
          <w:szCs w:val="24"/>
        </w:rPr>
      </w:pPr>
      <w:r>
        <w:rPr>
          <w:rFonts w:hint="eastAsia" w:hAnsi="宋体"/>
          <w:sz w:val="24"/>
          <w:szCs w:val="24"/>
        </w:rPr>
        <w:t>北京大学第六医院（以下简称“买方”）为一方和（以下简称“卖方”）为另一方同意按下述条款和条件签署本合同（以下简称“合同”）：</w:t>
      </w:r>
    </w:p>
    <w:p>
      <w:pPr>
        <w:numPr>
          <w:ilvl w:val="0"/>
          <w:numId w:val="8"/>
        </w:numPr>
        <w:spacing w:before="120" w:line="360" w:lineRule="auto"/>
        <w:rPr>
          <w:rFonts w:ascii="宋体" w:hAnsi="宋体"/>
          <w:b/>
          <w:sz w:val="24"/>
          <w:szCs w:val="24"/>
        </w:rPr>
      </w:pPr>
      <w:r>
        <w:rPr>
          <w:rFonts w:hint="eastAsia" w:ascii="宋体" w:hAnsi="宋体"/>
          <w:b/>
          <w:sz w:val="24"/>
          <w:szCs w:val="24"/>
        </w:rPr>
        <w:t>合同文件</w:t>
      </w:r>
    </w:p>
    <w:p>
      <w:pPr>
        <w:spacing w:line="360" w:lineRule="auto"/>
        <w:ind w:firstLine="540"/>
        <w:rPr>
          <w:rFonts w:ascii="宋体" w:hAnsi="宋体"/>
          <w:sz w:val="24"/>
          <w:szCs w:val="24"/>
        </w:rPr>
      </w:pPr>
      <w:r>
        <w:rPr>
          <w:rFonts w:hint="eastAsia" w:ascii="宋体" w:hAnsi="宋体"/>
          <w:sz w:val="24"/>
          <w:szCs w:val="24"/>
        </w:rPr>
        <w:t>本合同所附下列文件是构成本合同不可分割的部分：</w:t>
      </w:r>
    </w:p>
    <w:p>
      <w:pPr>
        <w:numPr>
          <w:ilvl w:val="0"/>
          <w:numId w:val="9"/>
        </w:numPr>
        <w:spacing w:line="360" w:lineRule="auto"/>
        <w:rPr>
          <w:rFonts w:ascii="宋体" w:hAnsi="宋体"/>
          <w:sz w:val="24"/>
          <w:szCs w:val="24"/>
        </w:rPr>
      </w:pPr>
      <w:r>
        <w:rPr>
          <w:rFonts w:hint="eastAsia" w:ascii="宋体" w:hAnsi="宋体"/>
          <w:sz w:val="24"/>
          <w:szCs w:val="24"/>
        </w:rPr>
        <w:t>合同及合同条款</w:t>
      </w:r>
    </w:p>
    <w:p>
      <w:pPr>
        <w:numPr>
          <w:ilvl w:val="0"/>
          <w:numId w:val="9"/>
        </w:numPr>
        <w:spacing w:line="360" w:lineRule="auto"/>
        <w:rPr>
          <w:rFonts w:ascii="宋体" w:hAnsi="宋体"/>
          <w:sz w:val="24"/>
          <w:szCs w:val="24"/>
        </w:rPr>
      </w:pPr>
      <w:r>
        <w:rPr>
          <w:rFonts w:hint="eastAsia" w:ascii="宋体" w:hAnsi="宋体"/>
          <w:sz w:val="24"/>
          <w:szCs w:val="24"/>
        </w:rPr>
        <w:t>采购文件</w:t>
      </w:r>
    </w:p>
    <w:p>
      <w:pPr>
        <w:numPr>
          <w:ilvl w:val="0"/>
          <w:numId w:val="9"/>
        </w:numPr>
        <w:spacing w:line="360" w:lineRule="auto"/>
        <w:rPr>
          <w:rFonts w:ascii="宋体" w:hAnsi="宋体"/>
          <w:sz w:val="24"/>
          <w:szCs w:val="24"/>
        </w:rPr>
      </w:pPr>
      <w:r>
        <w:rPr>
          <w:rFonts w:hint="eastAsia" w:ascii="宋体" w:hAnsi="宋体"/>
          <w:sz w:val="24"/>
          <w:szCs w:val="24"/>
        </w:rPr>
        <w:t>中标人的响应文件及有关澄清资料</w:t>
      </w:r>
    </w:p>
    <w:p>
      <w:pPr>
        <w:numPr>
          <w:ilvl w:val="0"/>
          <w:numId w:val="9"/>
        </w:numPr>
        <w:spacing w:line="360" w:lineRule="auto"/>
        <w:rPr>
          <w:rFonts w:ascii="宋体" w:hAnsi="宋体"/>
          <w:sz w:val="24"/>
          <w:szCs w:val="24"/>
        </w:rPr>
      </w:pPr>
      <w:r>
        <w:rPr>
          <w:rFonts w:hint="eastAsia" w:ascii="宋体" w:hAnsi="宋体"/>
          <w:sz w:val="24"/>
          <w:szCs w:val="24"/>
        </w:rPr>
        <w:t>双方约定的其他补充条款</w:t>
      </w:r>
    </w:p>
    <w:p>
      <w:pPr>
        <w:numPr>
          <w:ilvl w:val="0"/>
          <w:numId w:val="8"/>
        </w:numPr>
        <w:spacing w:before="120" w:line="360" w:lineRule="auto"/>
        <w:rPr>
          <w:rFonts w:ascii="宋体" w:hAnsi="宋体"/>
          <w:b/>
          <w:sz w:val="24"/>
          <w:szCs w:val="24"/>
        </w:rPr>
      </w:pPr>
      <w:r>
        <w:rPr>
          <w:rFonts w:hint="eastAsia" w:ascii="宋体" w:hAnsi="宋体"/>
          <w:b/>
          <w:sz w:val="24"/>
          <w:szCs w:val="24"/>
        </w:rPr>
        <w:t>合同范围和条件</w:t>
      </w:r>
    </w:p>
    <w:p>
      <w:pPr>
        <w:spacing w:after="120" w:line="360" w:lineRule="auto"/>
        <w:ind w:left="420"/>
        <w:rPr>
          <w:rFonts w:ascii="宋体" w:hAnsi="宋体"/>
          <w:sz w:val="24"/>
          <w:szCs w:val="24"/>
        </w:rPr>
      </w:pPr>
      <w:r>
        <w:rPr>
          <w:rFonts w:hint="eastAsia" w:ascii="宋体" w:hAnsi="宋体"/>
          <w:sz w:val="24"/>
          <w:szCs w:val="24"/>
        </w:rPr>
        <w:t>本合同的范围和条件应与上述合同文件的规定相一致。</w:t>
      </w:r>
    </w:p>
    <w:p>
      <w:pPr>
        <w:numPr>
          <w:ilvl w:val="0"/>
          <w:numId w:val="8"/>
        </w:numPr>
        <w:spacing w:line="360" w:lineRule="auto"/>
        <w:rPr>
          <w:rFonts w:ascii="宋体" w:hAnsi="宋体"/>
          <w:b/>
          <w:sz w:val="24"/>
          <w:szCs w:val="24"/>
        </w:rPr>
      </w:pPr>
      <w:r>
        <w:rPr>
          <w:rFonts w:hint="eastAsia" w:ascii="宋体" w:hAnsi="宋体"/>
          <w:b/>
          <w:sz w:val="24"/>
          <w:szCs w:val="24"/>
        </w:rPr>
        <w:t>设备数量和服务内容</w:t>
      </w:r>
    </w:p>
    <w:p>
      <w:pPr>
        <w:spacing w:line="360" w:lineRule="auto"/>
        <w:ind w:left="420"/>
        <w:rPr>
          <w:rFonts w:ascii="宋体" w:hAnsi="宋体"/>
          <w:b/>
          <w:sz w:val="24"/>
          <w:szCs w:val="24"/>
        </w:rPr>
      </w:pPr>
    </w:p>
    <w:tbl>
      <w:tblPr>
        <w:tblStyle w:val="21"/>
        <w:tblW w:w="9072"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409"/>
        <w:gridCol w:w="1370"/>
        <w:gridCol w:w="1000"/>
        <w:gridCol w:w="1440"/>
        <w:gridCol w:w="1585"/>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ign w:val="center"/>
          </w:tcPr>
          <w:p>
            <w:pPr>
              <w:spacing w:before="120" w:line="360" w:lineRule="auto"/>
              <w:rPr>
                <w:rFonts w:ascii="宋体" w:hAnsi="宋体"/>
                <w:sz w:val="24"/>
                <w:szCs w:val="24"/>
              </w:rPr>
            </w:pPr>
            <w:r>
              <w:rPr>
                <w:rFonts w:hint="eastAsia" w:ascii="宋体" w:hAnsi="宋体"/>
                <w:sz w:val="24"/>
                <w:szCs w:val="24"/>
              </w:rPr>
              <w:t>序号</w:t>
            </w:r>
          </w:p>
        </w:tc>
        <w:tc>
          <w:tcPr>
            <w:tcW w:w="1409" w:type="dxa"/>
            <w:noWrap/>
            <w:vAlign w:val="center"/>
          </w:tcPr>
          <w:p>
            <w:pPr>
              <w:spacing w:before="120" w:line="360" w:lineRule="auto"/>
              <w:jc w:val="center"/>
              <w:rPr>
                <w:rFonts w:ascii="宋体" w:hAnsi="宋体"/>
                <w:sz w:val="24"/>
                <w:szCs w:val="24"/>
              </w:rPr>
            </w:pPr>
            <w:r>
              <w:rPr>
                <w:rFonts w:hint="eastAsia" w:ascii="宋体" w:hAnsi="宋体"/>
                <w:sz w:val="24"/>
                <w:szCs w:val="24"/>
              </w:rPr>
              <w:t>设备名称</w:t>
            </w:r>
          </w:p>
        </w:tc>
        <w:tc>
          <w:tcPr>
            <w:tcW w:w="1370" w:type="dxa"/>
            <w:noWrap/>
            <w:vAlign w:val="center"/>
          </w:tcPr>
          <w:p>
            <w:pPr>
              <w:spacing w:before="120" w:line="360" w:lineRule="auto"/>
              <w:jc w:val="center"/>
              <w:rPr>
                <w:rFonts w:ascii="宋体" w:hAnsi="宋体"/>
                <w:sz w:val="24"/>
                <w:szCs w:val="24"/>
              </w:rPr>
            </w:pPr>
            <w:r>
              <w:rPr>
                <w:rFonts w:hint="eastAsia" w:ascii="宋体" w:hAnsi="宋体"/>
                <w:sz w:val="24"/>
                <w:szCs w:val="24"/>
              </w:rPr>
              <w:t>规格型号</w:t>
            </w:r>
          </w:p>
        </w:tc>
        <w:tc>
          <w:tcPr>
            <w:tcW w:w="1000" w:type="dxa"/>
            <w:noWrap/>
            <w:vAlign w:val="center"/>
          </w:tcPr>
          <w:p>
            <w:pPr>
              <w:spacing w:before="120" w:line="360" w:lineRule="auto"/>
              <w:jc w:val="center"/>
              <w:rPr>
                <w:rFonts w:ascii="宋体" w:hAnsi="宋体"/>
                <w:sz w:val="24"/>
                <w:szCs w:val="24"/>
              </w:rPr>
            </w:pPr>
            <w:r>
              <w:rPr>
                <w:rFonts w:hint="eastAsia" w:ascii="宋体" w:hAnsi="宋体"/>
                <w:sz w:val="24"/>
                <w:szCs w:val="24"/>
              </w:rPr>
              <w:t>数量</w:t>
            </w:r>
          </w:p>
        </w:tc>
        <w:tc>
          <w:tcPr>
            <w:tcW w:w="1440" w:type="dxa"/>
            <w:noWrap/>
            <w:vAlign w:val="center"/>
          </w:tcPr>
          <w:p>
            <w:pPr>
              <w:spacing w:before="120" w:line="360" w:lineRule="auto"/>
              <w:jc w:val="center"/>
              <w:rPr>
                <w:rFonts w:ascii="宋体" w:hAnsi="宋体"/>
                <w:sz w:val="24"/>
                <w:szCs w:val="24"/>
              </w:rPr>
            </w:pPr>
            <w:r>
              <w:rPr>
                <w:rFonts w:hint="eastAsia" w:ascii="宋体" w:hAnsi="宋体"/>
                <w:sz w:val="24"/>
                <w:szCs w:val="24"/>
              </w:rPr>
              <w:t>单价（元）</w:t>
            </w:r>
          </w:p>
        </w:tc>
        <w:tc>
          <w:tcPr>
            <w:tcW w:w="1585" w:type="dxa"/>
            <w:noWrap/>
            <w:vAlign w:val="center"/>
          </w:tcPr>
          <w:p>
            <w:pPr>
              <w:spacing w:before="120" w:line="360" w:lineRule="auto"/>
              <w:jc w:val="center"/>
              <w:rPr>
                <w:rFonts w:ascii="宋体" w:hAnsi="宋体"/>
                <w:sz w:val="24"/>
                <w:szCs w:val="24"/>
              </w:rPr>
            </w:pPr>
            <w:r>
              <w:rPr>
                <w:rFonts w:hint="eastAsia" w:ascii="宋体" w:hAnsi="宋体"/>
                <w:sz w:val="24"/>
                <w:szCs w:val="24"/>
              </w:rPr>
              <w:t>总价（元）</w:t>
            </w:r>
          </w:p>
        </w:tc>
        <w:tc>
          <w:tcPr>
            <w:tcW w:w="1701" w:type="dxa"/>
            <w:noWrap/>
            <w:vAlign w:val="center"/>
          </w:tcPr>
          <w:p>
            <w:pPr>
              <w:spacing w:before="120" w:line="360" w:lineRule="auto"/>
              <w:jc w:val="center"/>
              <w:rPr>
                <w:rFonts w:ascii="宋体" w:hAnsi="宋体"/>
                <w:sz w:val="24"/>
                <w:szCs w:val="24"/>
              </w:rPr>
            </w:pPr>
            <w:r>
              <w:rPr>
                <w:rFonts w:hint="eastAsia" w:ascii="宋体" w:hAnsi="宋体"/>
                <w:sz w:val="24"/>
                <w:szCs w:val="24"/>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7" w:type="dxa"/>
            <w:noWrap/>
            <w:vAlign w:val="center"/>
          </w:tcPr>
          <w:p>
            <w:pPr>
              <w:spacing w:before="120" w:line="360" w:lineRule="auto"/>
              <w:jc w:val="center"/>
              <w:rPr>
                <w:rFonts w:ascii="宋体" w:hAnsi="宋体"/>
                <w:sz w:val="24"/>
                <w:szCs w:val="24"/>
              </w:rPr>
            </w:pPr>
            <w:r>
              <w:rPr>
                <w:rFonts w:hint="eastAsia" w:ascii="宋体" w:hAnsi="宋体"/>
                <w:sz w:val="24"/>
                <w:szCs w:val="24"/>
              </w:rPr>
              <w:t>1</w:t>
            </w:r>
          </w:p>
        </w:tc>
        <w:tc>
          <w:tcPr>
            <w:tcW w:w="1409" w:type="dxa"/>
            <w:noWrap/>
            <w:vAlign w:val="center"/>
          </w:tcPr>
          <w:p>
            <w:pPr>
              <w:spacing w:before="120" w:line="360" w:lineRule="auto"/>
              <w:jc w:val="center"/>
              <w:rPr>
                <w:rFonts w:ascii="宋体" w:hAnsi="宋体"/>
                <w:sz w:val="24"/>
                <w:szCs w:val="24"/>
              </w:rPr>
            </w:pPr>
          </w:p>
        </w:tc>
        <w:tc>
          <w:tcPr>
            <w:tcW w:w="1370" w:type="dxa"/>
            <w:noWrap/>
            <w:vAlign w:val="center"/>
          </w:tcPr>
          <w:p>
            <w:pPr>
              <w:spacing w:before="120" w:line="360" w:lineRule="auto"/>
              <w:jc w:val="center"/>
              <w:rPr>
                <w:rFonts w:ascii="宋体" w:hAnsi="宋体"/>
                <w:sz w:val="24"/>
                <w:szCs w:val="24"/>
              </w:rPr>
            </w:pPr>
          </w:p>
        </w:tc>
        <w:tc>
          <w:tcPr>
            <w:tcW w:w="1000" w:type="dxa"/>
            <w:noWrap/>
            <w:vAlign w:val="center"/>
          </w:tcPr>
          <w:p>
            <w:pPr>
              <w:spacing w:before="120" w:line="360" w:lineRule="auto"/>
              <w:jc w:val="center"/>
              <w:rPr>
                <w:rFonts w:ascii="宋体" w:hAnsi="宋体"/>
                <w:sz w:val="24"/>
                <w:szCs w:val="24"/>
              </w:rPr>
            </w:pPr>
          </w:p>
        </w:tc>
        <w:tc>
          <w:tcPr>
            <w:tcW w:w="1440" w:type="dxa"/>
            <w:noWrap/>
            <w:vAlign w:val="center"/>
          </w:tcPr>
          <w:p>
            <w:pPr>
              <w:spacing w:before="120" w:line="360" w:lineRule="auto"/>
              <w:jc w:val="center"/>
              <w:rPr>
                <w:rFonts w:ascii="宋体" w:hAnsi="宋体"/>
                <w:sz w:val="24"/>
                <w:szCs w:val="24"/>
              </w:rPr>
            </w:pPr>
          </w:p>
        </w:tc>
        <w:tc>
          <w:tcPr>
            <w:tcW w:w="1585" w:type="dxa"/>
            <w:noWrap/>
            <w:vAlign w:val="center"/>
          </w:tcPr>
          <w:p>
            <w:pPr>
              <w:spacing w:before="120" w:line="360" w:lineRule="auto"/>
              <w:jc w:val="center"/>
              <w:rPr>
                <w:rFonts w:ascii="宋体" w:hAnsi="宋体"/>
                <w:sz w:val="24"/>
                <w:szCs w:val="24"/>
              </w:rPr>
            </w:pPr>
          </w:p>
        </w:tc>
        <w:tc>
          <w:tcPr>
            <w:tcW w:w="1701" w:type="dxa"/>
            <w:noWrap/>
            <w:vAlign w:val="center"/>
          </w:tcPr>
          <w:p>
            <w:pPr>
              <w:spacing w:before="120" w:line="360" w:lineRule="auto"/>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72" w:type="dxa"/>
            <w:gridSpan w:val="7"/>
            <w:noWrap/>
          </w:tcPr>
          <w:p>
            <w:pPr>
              <w:spacing w:before="120" w:line="360" w:lineRule="auto"/>
              <w:rPr>
                <w:rFonts w:ascii="宋体" w:hAnsi="宋体"/>
                <w:sz w:val="24"/>
                <w:szCs w:val="24"/>
              </w:rPr>
            </w:pPr>
            <w:r>
              <w:rPr>
                <w:rFonts w:hint="eastAsia" w:ascii="宋体" w:hAnsi="宋体"/>
                <w:sz w:val="24"/>
                <w:szCs w:val="24"/>
              </w:rPr>
              <w:t>总价金额大写：</w:t>
            </w:r>
          </w:p>
        </w:tc>
      </w:tr>
    </w:tbl>
    <w:p>
      <w:pPr>
        <w:spacing w:line="360" w:lineRule="auto"/>
        <w:ind w:left="420"/>
        <w:rPr>
          <w:rFonts w:ascii="宋体" w:hAnsi="宋体"/>
          <w:b/>
          <w:sz w:val="24"/>
          <w:szCs w:val="24"/>
        </w:rPr>
      </w:pPr>
    </w:p>
    <w:p>
      <w:pPr>
        <w:numPr>
          <w:ilvl w:val="0"/>
          <w:numId w:val="8"/>
        </w:numPr>
        <w:spacing w:line="360" w:lineRule="auto"/>
        <w:rPr>
          <w:rFonts w:ascii="宋体" w:hAnsi="宋体"/>
          <w:b/>
          <w:sz w:val="24"/>
          <w:szCs w:val="24"/>
        </w:rPr>
      </w:pPr>
      <w:r>
        <w:rPr>
          <w:rFonts w:hint="eastAsia" w:ascii="宋体" w:hAnsi="宋体"/>
          <w:b/>
          <w:sz w:val="24"/>
          <w:szCs w:val="24"/>
        </w:rPr>
        <w:t>合同金额</w:t>
      </w:r>
    </w:p>
    <w:p>
      <w:pPr>
        <w:spacing w:after="120" w:line="360" w:lineRule="auto"/>
        <w:ind w:left="420" w:leftChars="200"/>
        <w:rPr>
          <w:rFonts w:ascii="宋体" w:hAnsi="宋体"/>
          <w:sz w:val="24"/>
          <w:szCs w:val="24"/>
        </w:rPr>
      </w:pPr>
      <w:r>
        <w:rPr>
          <w:rFonts w:hint="eastAsia" w:ascii="宋体" w:hAnsi="宋体"/>
          <w:sz w:val="24"/>
          <w:szCs w:val="24"/>
        </w:rPr>
        <w:t>本合同总价款为人民币</w:t>
      </w:r>
      <w:r>
        <w:rPr>
          <w:rFonts w:hint="eastAsia" w:ascii="宋体" w:hAnsi="宋体"/>
          <w:b/>
          <w:sz w:val="24"/>
          <w:szCs w:val="24"/>
          <w:u w:val="single"/>
        </w:rPr>
        <w:t xml:space="preserve"> ￥        </w:t>
      </w:r>
      <w:r>
        <w:rPr>
          <w:rFonts w:hint="eastAsia" w:ascii="宋体" w:hAnsi="宋体"/>
          <w:sz w:val="24"/>
          <w:szCs w:val="24"/>
        </w:rPr>
        <w:t>元（大写元整）。</w:t>
      </w:r>
    </w:p>
    <w:p>
      <w:pPr>
        <w:numPr>
          <w:ilvl w:val="0"/>
          <w:numId w:val="8"/>
        </w:numPr>
        <w:spacing w:line="360" w:lineRule="auto"/>
        <w:rPr>
          <w:rFonts w:ascii="宋体" w:hAnsi="宋体"/>
          <w:b/>
          <w:sz w:val="24"/>
          <w:szCs w:val="24"/>
        </w:rPr>
      </w:pPr>
      <w:r>
        <w:rPr>
          <w:rFonts w:hint="eastAsia" w:ascii="宋体" w:hAnsi="宋体"/>
          <w:b/>
          <w:sz w:val="24"/>
          <w:szCs w:val="24"/>
        </w:rPr>
        <w:t>付款条件</w:t>
      </w:r>
    </w:p>
    <w:p>
      <w:pPr>
        <w:pStyle w:val="6"/>
        <w:spacing w:beforeLines="50" w:afterLines="50" w:line="500" w:lineRule="exact"/>
        <w:ind w:left="480" w:firstLine="0"/>
        <w:rPr>
          <w:rFonts w:ascii="宋体" w:hAnsi="宋体"/>
          <w:sz w:val="24"/>
        </w:rPr>
      </w:pPr>
      <w:r>
        <w:rPr>
          <w:rFonts w:hint="eastAsia" w:ascii="宋体" w:hAnsi="宋体"/>
          <w:sz w:val="24"/>
          <w:szCs w:val="24"/>
        </w:rPr>
        <w:t>5.1</w:t>
      </w:r>
      <w:r>
        <w:rPr>
          <w:rFonts w:hint="eastAsia" w:ascii="宋体" w:hAnsi="宋体"/>
          <w:sz w:val="24"/>
        </w:rPr>
        <w:t>合同生效后，甲方收到乙方的付款申请、相应金额的增值税普通发票及合同总金额10%</w:t>
      </w:r>
      <w:r>
        <w:rPr>
          <w:rFonts w:ascii="宋体" w:hAnsi="宋体"/>
          <w:sz w:val="24"/>
        </w:rPr>
        <w:t>的</w:t>
      </w:r>
      <w:r>
        <w:rPr>
          <w:rFonts w:hint="eastAsia" w:ascii="宋体" w:hAnsi="宋体"/>
          <w:sz w:val="24"/>
        </w:rPr>
        <w:t>履约保函（）</w:t>
      </w:r>
      <w:r>
        <w:rPr>
          <w:rFonts w:ascii="宋体" w:hAnsi="宋体"/>
          <w:sz w:val="24"/>
        </w:rPr>
        <w:t>后，甲方在</w:t>
      </w:r>
      <w:r>
        <w:rPr>
          <w:rFonts w:hint="eastAsia" w:ascii="宋体" w:hAnsi="宋体"/>
          <w:sz w:val="24"/>
        </w:rPr>
        <w:t>30</w:t>
      </w:r>
      <w:r>
        <w:rPr>
          <w:rFonts w:ascii="宋体" w:hAnsi="宋体"/>
          <w:sz w:val="24"/>
        </w:rPr>
        <w:t>个工作日内向乙方支付全部合同款，即人民币元；</w:t>
      </w:r>
    </w:p>
    <w:p>
      <w:pPr>
        <w:pStyle w:val="6"/>
        <w:spacing w:beforeLines="50" w:afterLines="50" w:line="500" w:lineRule="exact"/>
        <w:ind w:left="480" w:firstLine="0"/>
        <w:rPr>
          <w:rFonts w:ascii="宋体" w:hAnsi="宋体"/>
          <w:sz w:val="24"/>
        </w:rPr>
      </w:pPr>
      <w:r>
        <w:rPr>
          <w:rFonts w:hint="eastAsia" w:ascii="宋体" w:hAnsi="宋体"/>
          <w:sz w:val="24"/>
          <w:szCs w:val="24"/>
        </w:rPr>
        <w:t xml:space="preserve">5.2 </w:t>
      </w:r>
      <w:r>
        <w:rPr>
          <w:rFonts w:hint="eastAsia" w:ascii="宋体" w:hAnsi="宋体"/>
          <w:sz w:val="24"/>
        </w:rPr>
        <w:t>项目通过验收后，根据乙方的退还履约保函申请、甲方签发的验收报告</w:t>
      </w:r>
      <w:r>
        <w:rPr>
          <w:rFonts w:ascii="宋体" w:hAnsi="宋体"/>
          <w:sz w:val="24"/>
        </w:rPr>
        <w:t>甲方在</w:t>
      </w:r>
      <w:r>
        <w:rPr>
          <w:rFonts w:hint="eastAsia" w:ascii="宋体" w:hAnsi="宋体"/>
          <w:sz w:val="24"/>
        </w:rPr>
        <w:t>1</w:t>
      </w:r>
      <w:r>
        <w:rPr>
          <w:rFonts w:ascii="宋体" w:hAnsi="宋体"/>
          <w:sz w:val="24"/>
        </w:rPr>
        <w:t>5个工作日内退还乙方</w:t>
      </w:r>
      <w:r>
        <w:rPr>
          <w:rFonts w:hint="eastAsia" w:ascii="宋体" w:hAnsi="宋体"/>
          <w:sz w:val="24"/>
        </w:rPr>
        <w:t>合同</w:t>
      </w:r>
      <w:r>
        <w:rPr>
          <w:rFonts w:ascii="宋体" w:hAnsi="宋体"/>
          <w:sz w:val="24"/>
        </w:rPr>
        <w:t>总金额</w:t>
      </w:r>
      <w:r>
        <w:rPr>
          <w:rFonts w:hint="eastAsia" w:ascii="宋体" w:hAnsi="宋体"/>
          <w:sz w:val="24"/>
        </w:rPr>
        <w:t>10%</w:t>
      </w:r>
      <w:r>
        <w:rPr>
          <w:rFonts w:ascii="宋体" w:hAnsi="宋体"/>
          <w:sz w:val="24"/>
        </w:rPr>
        <w:t>的</w:t>
      </w:r>
      <w:r>
        <w:rPr>
          <w:rFonts w:hint="eastAsia" w:ascii="宋体" w:hAnsi="宋体"/>
          <w:sz w:val="24"/>
        </w:rPr>
        <w:t>履约</w:t>
      </w:r>
      <w:r>
        <w:rPr>
          <w:rFonts w:ascii="宋体" w:hAnsi="宋体"/>
          <w:sz w:val="24"/>
        </w:rPr>
        <w:t>保函</w:t>
      </w:r>
      <w:r>
        <w:rPr>
          <w:rFonts w:hint="eastAsia" w:ascii="宋体" w:hAnsi="宋体"/>
          <w:sz w:val="24"/>
        </w:rPr>
        <w:t>；</w:t>
      </w:r>
    </w:p>
    <w:p>
      <w:pPr>
        <w:spacing w:line="520" w:lineRule="exact"/>
        <w:ind w:left="425" w:firstLine="425"/>
        <w:rPr>
          <w:rFonts w:ascii="宋体" w:hAnsi="宋体"/>
          <w:sz w:val="24"/>
          <w:szCs w:val="24"/>
        </w:rPr>
      </w:pPr>
    </w:p>
    <w:p>
      <w:pPr>
        <w:numPr>
          <w:ilvl w:val="0"/>
          <w:numId w:val="8"/>
        </w:numPr>
        <w:spacing w:line="360" w:lineRule="auto"/>
        <w:rPr>
          <w:rFonts w:ascii="宋体" w:hAnsi="宋体"/>
          <w:b/>
          <w:sz w:val="24"/>
          <w:szCs w:val="24"/>
        </w:rPr>
      </w:pPr>
      <w:r>
        <w:rPr>
          <w:rFonts w:hint="eastAsia" w:ascii="宋体" w:hAnsi="宋体"/>
          <w:b/>
          <w:sz w:val="24"/>
          <w:szCs w:val="24"/>
        </w:rPr>
        <w:t>交货时间和交货地点</w:t>
      </w:r>
    </w:p>
    <w:p>
      <w:pPr>
        <w:spacing w:line="360" w:lineRule="auto"/>
        <w:ind w:firstLine="480" w:firstLineChars="200"/>
        <w:rPr>
          <w:rFonts w:ascii="宋体" w:hAnsi="宋体"/>
          <w:sz w:val="24"/>
          <w:szCs w:val="24"/>
        </w:rPr>
      </w:pPr>
      <w:r>
        <w:rPr>
          <w:rFonts w:hint="eastAsia" w:ascii="宋体" w:hAnsi="宋体"/>
          <w:sz w:val="24"/>
          <w:szCs w:val="24"/>
        </w:rPr>
        <w:t>6.1交货时间：合同签订生效且接到买方通知后天内到货。交货后卖方应向买方提供制造厂出具的明细装箱单。</w:t>
      </w:r>
    </w:p>
    <w:p>
      <w:pPr>
        <w:spacing w:line="360" w:lineRule="auto"/>
        <w:ind w:firstLine="480" w:firstLineChars="200"/>
        <w:rPr>
          <w:rFonts w:ascii="宋体" w:hAnsi="宋体"/>
          <w:sz w:val="24"/>
          <w:szCs w:val="24"/>
        </w:rPr>
      </w:pPr>
      <w:r>
        <w:rPr>
          <w:rFonts w:hint="eastAsia" w:ascii="宋体" w:hAnsi="宋体"/>
          <w:sz w:val="24"/>
          <w:szCs w:val="24"/>
        </w:rPr>
        <w:t>6.2在履行合同过程中，卖方接到买方通知后,如果遇到不能按时交货和提供服务的情况，应在7天内以书面形式将不能按时交货的理由、延误时间通知买方。买方在收到卖方通知后，应对情况进行分析，决定是否修改合同、酌情延长交货时间。若卖方未在规定时间内以书面形式通知买方,则送货时间依旧参照按6.1规定执行。</w:t>
      </w:r>
    </w:p>
    <w:p>
      <w:pPr>
        <w:spacing w:line="360" w:lineRule="auto"/>
        <w:ind w:firstLine="480" w:firstLineChars="200"/>
        <w:rPr>
          <w:rFonts w:ascii="宋体" w:hAnsi="宋体"/>
          <w:sz w:val="24"/>
          <w:szCs w:val="24"/>
        </w:rPr>
      </w:pPr>
      <w:r>
        <w:rPr>
          <w:rFonts w:hint="eastAsia" w:ascii="宋体" w:hAnsi="宋体"/>
          <w:sz w:val="24"/>
          <w:szCs w:val="24"/>
        </w:rPr>
        <w:t>6.3交货地点：北京大学第六医院指定地点。</w:t>
      </w:r>
    </w:p>
    <w:p>
      <w:pPr>
        <w:spacing w:line="360" w:lineRule="auto"/>
        <w:rPr>
          <w:rFonts w:ascii="宋体" w:hAnsi="宋体"/>
          <w:b/>
          <w:sz w:val="24"/>
          <w:szCs w:val="24"/>
        </w:rPr>
      </w:pPr>
      <w:r>
        <w:rPr>
          <w:rFonts w:hint="eastAsia" w:ascii="宋体" w:hAnsi="宋体"/>
          <w:b/>
          <w:sz w:val="24"/>
          <w:szCs w:val="24"/>
        </w:rPr>
        <w:t>7. 合同生效</w:t>
      </w:r>
    </w:p>
    <w:p>
      <w:pPr>
        <w:spacing w:line="360" w:lineRule="auto"/>
        <w:ind w:left="420"/>
        <w:rPr>
          <w:rFonts w:ascii="宋体" w:hAnsi="宋体"/>
          <w:sz w:val="24"/>
          <w:szCs w:val="24"/>
        </w:rPr>
      </w:pPr>
      <w:r>
        <w:rPr>
          <w:rFonts w:hint="eastAsia" w:ascii="宋体" w:hAnsi="宋体"/>
          <w:sz w:val="24"/>
          <w:szCs w:val="24"/>
        </w:rPr>
        <w:t>本合同经双方授权代表签字盖章后生效。</w:t>
      </w:r>
    </w:p>
    <w:p>
      <w:pPr>
        <w:spacing w:line="360" w:lineRule="auto"/>
        <w:rPr>
          <w:rFonts w:ascii="宋体" w:hAnsi="宋体"/>
          <w:sz w:val="24"/>
          <w:szCs w:val="24"/>
        </w:rPr>
      </w:pPr>
    </w:p>
    <w:p>
      <w:pPr>
        <w:tabs>
          <w:tab w:val="left" w:pos="4253"/>
        </w:tabs>
        <w:autoSpaceDE w:val="0"/>
        <w:autoSpaceDN w:val="0"/>
        <w:spacing w:line="360" w:lineRule="auto"/>
        <w:rPr>
          <w:rFonts w:ascii="宋体" w:cs="宋体"/>
          <w:color w:val="000000"/>
          <w:sz w:val="24"/>
          <w:szCs w:val="24"/>
        </w:rPr>
      </w:pPr>
      <w:r>
        <w:rPr>
          <w:rFonts w:hint="eastAsia" w:ascii="宋体" w:cs="宋体"/>
          <w:color w:val="000000"/>
          <w:sz w:val="24"/>
          <w:szCs w:val="24"/>
        </w:rPr>
        <w:t>买方：                              卖方：</w:t>
      </w:r>
    </w:p>
    <w:p>
      <w:pPr>
        <w:spacing w:line="360" w:lineRule="auto"/>
        <w:ind w:left="5160" w:hanging="5160" w:hangingChars="2150"/>
        <w:rPr>
          <w:rFonts w:ascii="宋体" w:hAnsi="宋体"/>
          <w:sz w:val="24"/>
          <w:u w:val="single"/>
        </w:rPr>
      </w:pPr>
      <w:r>
        <w:rPr>
          <w:rFonts w:hint="eastAsia" w:ascii="宋体" w:cs="宋体"/>
          <w:color w:val="000000"/>
          <w:sz w:val="24"/>
          <w:szCs w:val="24"/>
        </w:rPr>
        <w:t>地址：                              地址：</w:t>
      </w:r>
    </w:p>
    <w:p>
      <w:pPr>
        <w:spacing w:line="360" w:lineRule="auto"/>
        <w:ind w:left="5040" w:hanging="5040" w:hangingChars="2100"/>
        <w:rPr>
          <w:rFonts w:ascii="宋体" w:cs="宋体"/>
          <w:color w:val="000000"/>
          <w:sz w:val="24"/>
          <w:szCs w:val="24"/>
          <w:u w:val="single"/>
        </w:rPr>
      </w:pPr>
    </w:p>
    <w:p>
      <w:pPr>
        <w:spacing w:line="360" w:lineRule="auto"/>
        <w:ind w:left="5040" w:hanging="5040" w:hangingChars="2100"/>
        <w:rPr>
          <w:rFonts w:ascii="宋体" w:cs="宋体"/>
          <w:color w:val="000000"/>
          <w:sz w:val="24"/>
          <w:szCs w:val="24"/>
          <w:u w:val="single"/>
        </w:rPr>
      </w:pPr>
    </w:p>
    <w:p>
      <w:pPr>
        <w:spacing w:line="360" w:lineRule="auto"/>
        <w:rPr>
          <w:rFonts w:ascii="宋体" w:cs="宋体"/>
          <w:color w:val="000000"/>
          <w:sz w:val="24"/>
          <w:szCs w:val="24"/>
        </w:rPr>
      </w:pPr>
      <w:r>
        <w:rPr>
          <w:rFonts w:hint="eastAsia" w:ascii="宋体" w:cs="宋体"/>
          <w:color w:val="000000"/>
          <w:sz w:val="24"/>
          <w:szCs w:val="24"/>
        </w:rPr>
        <w:t>授权代表（签字）：                  授权代表（签字）：</w:t>
      </w:r>
    </w:p>
    <w:p>
      <w:pPr>
        <w:tabs>
          <w:tab w:val="left" w:pos="4395"/>
        </w:tabs>
        <w:spacing w:line="360" w:lineRule="auto"/>
        <w:rPr>
          <w:rFonts w:ascii="宋体" w:cs="宋体"/>
          <w:color w:val="000000"/>
          <w:sz w:val="24"/>
          <w:szCs w:val="24"/>
        </w:rPr>
      </w:pPr>
      <w:r>
        <w:rPr>
          <w:rFonts w:hint="eastAsia" w:ascii="宋体" w:cs="宋体"/>
          <w:color w:val="000000"/>
          <w:sz w:val="24"/>
          <w:szCs w:val="24"/>
        </w:rPr>
        <w:t>电话：                              电话：</w:t>
      </w:r>
    </w:p>
    <w:p>
      <w:pPr>
        <w:tabs>
          <w:tab w:val="left" w:pos="4395"/>
        </w:tabs>
        <w:spacing w:line="360" w:lineRule="auto"/>
        <w:rPr>
          <w:rFonts w:ascii="宋体" w:cs="宋体"/>
          <w:color w:val="000000"/>
          <w:sz w:val="24"/>
          <w:szCs w:val="24"/>
        </w:rPr>
      </w:pPr>
      <w:r>
        <w:rPr>
          <w:rFonts w:hint="eastAsia" w:ascii="宋体" w:cs="宋体"/>
          <w:color w:val="000000"/>
          <w:sz w:val="24"/>
          <w:szCs w:val="24"/>
        </w:rPr>
        <w:t xml:space="preserve">盖章：                             盖章： </w:t>
      </w:r>
    </w:p>
    <w:p>
      <w:pPr>
        <w:tabs>
          <w:tab w:val="left" w:pos="4395"/>
        </w:tabs>
        <w:autoSpaceDE w:val="0"/>
        <w:autoSpaceDN w:val="0"/>
        <w:spacing w:line="360" w:lineRule="auto"/>
        <w:rPr>
          <w:rFonts w:ascii="宋体" w:cs="宋体"/>
          <w:color w:val="000000"/>
          <w:sz w:val="24"/>
          <w:szCs w:val="24"/>
        </w:rPr>
      </w:pPr>
      <w:r>
        <w:rPr>
          <w:rFonts w:hint="eastAsia" w:ascii="宋体" w:cs="宋体"/>
          <w:color w:val="000000"/>
          <w:sz w:val="24"/>
          <w:szCs w:val="24"/>
        </w:rPr>
        <w:t>日期：    年    月    日            日期：    年    月    日</w:t>
      </w:r>
    </w:p>
    <w:p>
      <w:pPr>
        <w:spacing w:line="340" w:lineRule="atLeast"/>
        <w:ind w:left="420"/>
        <w:rPr>
          <w:rFonts w:ascii="宋体" w:hAnsi="宋体"/>
          <w:sz w:val="24"/>
          <w:szCs w:val="24"/>
        </w:rPr>
      </w:pPr>
    </w:p>
    <w:p>
      <w:pPr>
        <w:spacing w:line="340" w:lineRule="atLeast"/>
        <w:ind w:left="420"/>
        <w:rPr>
          <w:rFonts w:ascii="宋体" w:hAnsi="宋体"/>
          <w:sz w:val="24"/>
          <w:szCs w:val="24"/>
        </w:rPr>
      </w:pPr>
    </w:p>
    <w:p>
      <w:pPr>
        <w:spacing w:line="340" w:lineRule="atLeast"/>
        <w:ind w:left="420"/>
        <w:rPr>
          <w:rFonts w:ascii="宋体" w:hAnsi="宋体"/>
          <w:sz w:val="24"/>
          <w:szCs w:val="24"/>
        </w:rPr>
      </w:pPr>
    </w:p>
    <w:p>
      <w:pPr>
        <w:spacing w:line="340" w:lineRule="atLeast"/>
        <w:ind w:left="420"/>
        <w:rPr>
          <w:rFonts w:ascii="宋体" w:hAnsi="宋体"/>
          <w:sz w:val="24"/>
          <w:szCs w:val="24"/>
        </w:rPr>
      </w:pPr>
    </w:p>
    <w:p>
      <w:pPr>
        <w:spacing w:line="340" w:lineRule="atLeast"/>
        <w:ind w:left="420"/>
        <w:rPr>
          <w:rFonts w:ascii="宋体" w:hAnsi="宋体"/>
          <w:sz w:val="24"/>
          <w:szCs w:val="24"/>
        </w:rPr>
      </w:pPr>
    </w:p>
    <w:p>
      <w:pPr>
        <w:spacing w:line="340" w:lineRule="atLeast"/>
        <w:ind w:left="420"/>
        <w:rPr>
          <w:rFonts w:ascii="宋体" w:hAnsi="宋体"/>
          <w:sz w:val="24"/>
          <w:szCs w:val="24"/>
        </w:rPr>
      </w:pPr>
    </w:p>
    <w:p>
      <w:pPr>
        <w:spacing w:line="340" w:lineRule="atLeast"/>
        <w:ind w:left="420"/>
        <w:rPr>
          <w:rFonts w:ascii="宋体" w:hAnsi="宋体"/>
          <w:sz w:val="24"/>
          <w:szCs w:val="24"/>
        </w:rPr>
      </w:pPr>
    </w:p>
    <w:p>
      <w:pPr>
        <w:jc w:val="center"/>
        <w:rPr>
          <w:b/>
          <w:sz w:val="32"/>
          <w:szCs w:val="32"/>
        </w:rPr>
      </w:pPr>
      <w:r>
        <w:rPr>
          <w:b/>
          <w:sz w:val="32"/>
          <w:szCs w:val="32"/>
        </w:rPr>
        <w:br w:type="page"/>
      </w:r>
      <w:r>
        <w:rPr>
          <w:rFonts w:hint="eastAsia"/>
          <w:b/>
          <w:sz w:val="32"/>
          <w:szCs w:val="32"/>
        </w:rPr>
        <w:t>（二）合同条款</w:t>
      </w:r>
    </w:p>
    <w:p>
      <w:pPr>
        <w:spacing w:line="360" w:lineRule="auto"/>
        <w:rPr>
          <w:rFonts w:ascii="宋体" w:hAnsi="宋体"/>
          <w:b/>
          <w:sz w:val="24"/>
          <w:szCs w:val="24"/>
        </w:rPr>
      </w:pPr>
      <w:r>
        <w:rPr>
          <w:rFonts w:hint="eastAsia" w:ascii="宋体" w:hAnsi="宋体"/>
          <w:b/>
          <w:sz w:val="24"/>
          <w:szCs w:val="24"/>
        </w:rPr>
        <w:t>1. 定义</w:t>
      </w:r>
    </w:p>
    <w:p>
      <w:pPr>
        <w:spacing w:line="360" w:lineRule="auto"/>
        <w:ind w:firstLine="360" w:firstLineChars="150"/>
        <w:rPr>
          <w:rFonts w:ascii="宋体" w:hAnsi="宋体"/>
          <w:sz w:val="24"/>
          <w:szCs w:val="24"/>
        </w:rPr>
      </w:pPr>
      <w:r>
        <w:rPr>
          <w:rFonts w:hint="eastAsia" w:ascii="宋体" w:hAnsi="宋体"/>
          <w:sz w:val="24"/>
          <w:szCs w:val="24"/>
        </w:rPr>
        <w:t>本合同中的下列术语应解释为：</w:t>
      </w:r>
    </w:p>
    <w:p>
      <w:pPr>
        <w:spacing w:line="360" w:lineRule="auto"/>
        <w:ind w:left="480" w:hanging="480" w:hangingChars="200"/>
        <w:rPr>
          <w:rFonts w:ascii="宋体" w:hAnsi="宋体"/>
          <w:sz w:val="24"/>
          <w:szCs w:val="24"/>
        </w:rPr>
      </w:pPr>
      <w:r>
        <w:rPr>
          <w:rFonts w:hint="eastAsia" w:ascii="宋体" w:hAnsi="宋体"/>
          <w:sz w:val="24"/>
          <w:szCs w:val="24"/>
        </w:rPr>
        <w:t>1.1 “合同”系指买卖双方签署的、合同格式中载明的买卖双方所达成的协议，包括所有的附件、附录和构成合同的所有文件。</w:t>
      </w:r>
    </w:p>
    <w:p>
      <w:pPr>
        <w:spacing w:line="360" w:lineRule="auto"/>
        <w:ind w:left="480" w:hanging="480" w:hangingChars="200"/>
        <w:rPr>
          <w:rFonts w:ascii="宋体" w:hAnsi="宋体"/>
          <w:sz w:val="24"/>
          <w:szCs w:val="24"/>
        </w:rPr>
      </w:pPr>
      <w:r>
        <w:rPr>
          <w:rFonts w:hint="eastAsia" w:ascii="宋体" w:hAnsi="宋体"/>
          <w:sz w:val="24"/>
          <w:szCs w:val="24"/>
        </w:rPr>
        <w:t>1.2 “合同价”系指根据合同规定，卖方在完全履行合同义务后买方应支付给卖方的价格。</w:t>
      </w:r>
    </w:p>
    <w:p>
      <w:pPr>
        <w:spacing w:line="360" w:lineRule="auto"/>
        <w:ind w:left="480" w:hanging="480" w:hangingChars="200"/>
        <w:rPr>
          <w:rFonts w:ascii="宋体" w:hAnsi="宋体"/>
          <w:sz w:val="24"/>
          <w:szCs w:val="24"/>
        </w:rPr>
      </w:pPr>
      <w:r>
        <w:rPr>
          <w:rFonts w:hint="eastAsia" w:ascii="宋体" w:hAnsi="宋体"/>
          <w:sz w:val="24"/>
          <w:szCs w:val="24"/>
        </w:rPr>
        <w:t>1.3 “货物”系指卖方根据合同规定须向买方提供的一切设备、机械、仪表、软件、备件、工具、手册和其他技术资料及其他材料。</w:t>
      </w:r>
    </w:p>
    <w:p>
      <w:pPr>
        <w:spacing w:line="360" w:lineRule="auto"/>
        <w:ind w:left="480" w:hanging="480" w:hangingChars="200"/>
        <w:rPr>
          <w:rFonts w:ascii="宋体" w:hAnsi="宋体"/>
          <w:sz w:val="24"/>
          <w:szCs w:val="24"/>
        </w:rPr>
      </w:pPr>
      <w:r>
        <w:rPr>
          <w:rFonts w:hint="eastAsia" w:ascii="宋体" w:hAnsi="宋体"/>
          <w:sz w:val="24"/>
          <w:szCs w:val="24"/>
        </w:rPr>
        <w:t>1.4 “服务”系指根据合同规定卖方承担与供货有关的辅助服务，如安装、调试、维修、保养、提供技术服务、培训和其他类似的义务。</w:t>
      </w:r>
    </w:p>
    <w:p>
      <w:pPr>
        <w:spacing w:before="120" w:line="360" w:lineRule="auto"/>
        <w:rPr>
          <w:rFonts w:ascii="宋体" w:hAnsi="宋体"/>
          <w:b/>
          <w:sz w:val="24"/>
          <w:szCs w:val="24"/>
        </w:rPr>
      </w:pPr>
      <w:r>
        <w:rPr>
          <w:rFonts w:hint="eastAsia" w:ascii="宋体" w:hAnsi="宋体"/>
          <w:b/>
          <w:sz w:val="24"/>
          <w:szCs w:val="24"/>
        </w:rPr>
        <w:t>2. 技术规格</w:t>
      </w:r>
    </w:p>
    <w:p>
      <w:pPr>
        <w:spacing w:line="360" w:lineRule="auto"/>
        <w:ind w:left="478" w:leftChars="-10" w:hanging="499" w:hangingChars="208"/>
        <w:rPr>
          <w:rFonts w:ascii="宋体" w:hAnsi="宋体"/>
          <w:sz w:val="24"/>
          <w:szCs w:val="24"/>
        </w:rPr>
      </w:pPr>
      <w:r>
        <w:rPr>
          <w:rFonts w:hint="eastAsia" w:ascii="宋体" w:hAnsi="宋体"/>
          <w:sz w:val="24"/>
          <w:szCs w:val="24"/>
        </w:rPr>
        <w:t>2.1卖方提供和交付的货物技术规格应与投标文件规定的技术规格以及所附的技术规格响应表（如果有的话）相一致。</w:t>
      </w:r>
    </w:p>
    <w:p>
      <w:pPr>
        <w:spacing w:before="120" w:line="360" w:lineRule="auto"/>
        <w:rPr>
          <w:rFonts w:ascii="宋体" w:hAnsi="宋体"/>
          <w:b/>
          <w:sz w:val="24"/>
          <w:szCs w:val="24"/>
        </w:rPr>
      </w:pPr>
      <w:r>
        <w:rPr>
          <w:rFonts w:hint="eastAsia" w:ascii="宋体" w:hAnsi="宋体"/>
          <w:b/>
          <w:sz w:val="24"/>
          <w:szCs w:val="24"/>
        </w:rPr>
        <w:t>3. 专利权</w:t>
      </w:r>
    </w:p>
    <w:p>
      <w:pPr>
        <w:pStyle w:val="16"/>
        <w:spacing w:line="360" w:lineRule="auto"/>
        <w:ind w:left="480" w:hanging="480" w:hangingChars="200"/>
        <w:rPr>
          <w:rFonts w:hAnsi="宋体"/>
          <w:szCs w:val="24"/>
        </w:rPr>
      </w:pPr>
      <w:r>
        <w:rPr>
          <w:rFonts w:hint="eastAsia" w:hAnsi="宋体"/>
          <w:szCs w:val="24"/>
        </w:rPr>
        <w:t>3.1 卖方应保证买方在使用该货物或其任何一部分时不受第三方提出侵犯其专利权、商标权和工业设计权的起诉。</w:t>
      </w:r>
    </w:p>
    <w:p>
      <w:pPr>
        <w:spacing w:before="120" w:line="360" w:lineRule="auto"/>
        <w:ind w:left="522" w:hanging="550"/>
        <w:rPr>
          <w:rFonts w:ascii="宋体" w:hAnsi="宋体"/>
          <w:b/>
          <w:sz w:val="24"/>
          <w:szCs w:val="24"/>
        </w:rPr>
      </w:pPr>
      <w:r>
        <w:rPr>
          <w:rFonts w:hint="eastAsia" w:ascii="宋体" w:hAnsi="宋体"/>
          <w:b/>
          <w:sz w:val="24"/>
          <w:szCs w:val="24"/>
        </w:rPr>
        <w:t>4. 包装要求</w:t>
      </w:r>
    </w:p>
    <w:p>
      <w:pPr>
        <w:numPr>
          <w:ilvl w:val="1"/>
          <w:numId w:val="10"/>
        </w:numPr>
        <w:tabs>
          <w:tab w:val="left" w:pos="525"/>
          <w:tab w:val="left" w:pos="560"/>
          <w:tab w:val="clear" w:pos="1425"/>
        </w:tabs>
        <w:spacing w:line="360" w:lineRule="auto"/>
        <w:ind w:left="525" w:hanging="525"/>
        <w:rPr>
          <w:rFonts w:ascii="宋体" w:hAnsi="宋体"/>
          <w:sz w:val="24"/>
          <w:szCs w:val="24"/>
        </w:rPr>
      </w:pPr>
      <w:r>
        <w:rPr>
          <w:rFonts w:hint="eastAsia" w:ascii="宋体" w:hAnsi="宋体"/>
          <w:sz w:val="24"/>
          <w:szCs w:val="24"/>
        </w:rPr>
        <w:t>除合同另有规定外，卖方供应的全部货物均应按标准保护措施进行包装。该包装应适应于远距离运输、防潮、防震、防锈和防野蛮装卸，确保货物安全无损运抵现场。由于包装不善所引起的货物锈蚀、损坏和损失均由卖方承担。</w:t>
      </w:r>
    </w:p>
    <w:p>
      <w:pPr>
        <w:numPr>
          <w:ilvl w:val="1"/>
          <w:numId w:val="10"/>
        </w:numPr>
        <w:tabs>
          <w:tab w:val="left" w:pos="525"/>
          <w:tab w:val="clear" w:pos="1425"/>
        </w:tabs>
        <w:spacing w:line="360" w:lineRule="auto"/>
        <w:ind w:left="525" w:hanging="525"/>
        <w:rPr>
          <w:rFonts w:ascii="宋体" w:hAnsi="宋体"/>
          <w:sz w:val="24"/>
          <w:szCs w:val="24"/>
        </w:rPr>
      </w:pPr>
      <w:r>
        <w:rPr>
          <w:rFonts w:hint="eastAsia" w:ascii="宋体" w:hAnsi="宋体"/>
          <w:sz w:val="24"/>
          <w:szCs w:val="24"/>
        </w:rPr>
        <w:t>每件包装箱内应附一份由原制造厂出具的详细装箱单和质量合格证。</w:t>
      </w:r>
    </w:p>
    <w:p>
      <w:pPr>
        <w:spacing w:before="120" w:line="360" w:lineRule="auto"/>
        <w:ind w:left="522" w:hanging="550"/>
        <w:rPr>
          <w:rFonts w:ascii="宋体" w:hAnsi="宋体"/>
          <w:b/>
          <w:sz w:val="24"/>
          <w:szCs w:val="24"/>
        </w:rPr>
      </w:pPr>
      <w:r>
        <w:rPr>
          <w:rFonts w:ascii="宋体" w:hAnsi="宋体"/>
          <w:b/>
          <w:sz w:val="24"/>
          <w:szCs w:val="24"/>
        </w:rPr>
        <w:t>5.</w:t>
      </w:r>
      <w:r>
        <w:rPr>
          <w:rFonts w:hint="eastAsia" w:ascii="宋体" w:hAnsi="宋体"/>
          <w:b/>
          <w:sz w:val="24"/>
          <w:szCs w:val="24"/>
        </w:rPr>
        <w:t>装运方式：</w:t>
      </w:r>
    </w:p>
    <w:p>
      <w:pPr>
        <w:numPr>
          <w:ilvl w:val="1"/>
          <w:numId w:val="11"/>
        </w:numPr>
        <w:tabs>
          <w:tab w:val="left" w:pos="525"/>
          <w:tab w:val="left" w:pos="560"/>
        </w:tabs>
        <w:spacing w:line="360" w:lineRule="auto"/>
        <w:ind w:left="525" w:hanging="525"/>
        <w:rPr>
          <w:rFonts w:ascii="宋体" w:hAnsi="宋体"/>
          <w:color w:val="000000"/>
          <w:sz w:val="24"/>
          <w:szCs w:val="24"/>
        </w:rPr>
      </w:pPr>
      <w:r>
        <w:rPr>
          <w:rFonts w:hint="eastAsia" w:ascii="宋体" w:hAnsi="宋体"/>
          <w:color w:val="000000"/>
          <w:sz w:val="24"/>
          <w:szCs w:val="24"/>
        </w:rPr>
        <w:t xml:space="preserve"> 卖方装运的货物不应超过合同规定的数量或重量。否则，卖方应对超交数量或重量而产生的一切后果负责。</w:t>
      </w:r>
    </w:p>
    <w:p>
      <w:pPr>
        <w:spacing w:line="360" w:lineRule="auto"/>
        <w:ind w:left="520" w:hanging="550"/>
        <w:rPr>
          <w:rFonts w:ascii="宋体" w:hAnsi="宋体"/>
          <w:b/>
          <w:bCs/>
          <w:sz w:val="24"/>
          <w:szCs w:val="24"/>
        </w:rPr>
      </w:pPr>
      <w:r>
        <w:rPr>
          <w:rFonts w:hint="eastAsia" w:ascii="宋体" w:hAnsi="宋体"/>
          <w:b/>
          <w:bCs/>
          <w:sz w:val="24"/>
          <w:szCs w:val="24"/>
        </w:rPr>
        <w:t>6. 技术资料</w:t>
      </w:r>
    </w:p>
    <w:p>
      <w:pPr>
        <w:spacing w:line="360" w:lineRule="auto"/>
        <w:ind w:left="520" w:hanging="520"/>
        <w:rPr>
          <w:rFonts w:ascii="宋体" w:hAnsi="宋体"/>
          <w:sz w:val="24"/>
          <w:szCs w:val="24"/>
        </w:rPr>
      </w:pPr>
      <w:r>
        <w:rPr>
          <w:rFonts w:hint="eastAsia" w:ascii="宋体" w:hAnsi="宋体"/>
          <w:sz w:val="24"/>
          <w:szCs w:val="24"/>
        </w:rPr>
        <w:t xml:space="preserve">    所有的技术资料，如操作手册、使用指南等应于货物验收时一并交给买方。</w:t>
      </w:r>
    </w:p>
    <w:p>
      <w:pPr>
        <w:spacing w:line="360" w:lineRule="auto"/>
        <w:ind w:left="520" w:hanging="520"/>
        <w:rPr>
          <w:rFonts w:ascii="宋体" w:hAnsi="宋体"/>
          <w:sz w:val="24"/>
          <w:szCs w:val="24"/>
        </w:rPr>
      </w:pPr>
      <w:r>
        <w:rPr>
          <w:rFonts w:hint="eastAsia" w:ascii="宋体" w:hAnsi="宋体"/>
          <w:b/>
          <w:sz w:val="24"/>
          <w:szCs w:val="24"/>
        </w:rPr>
        <w:t>7. 质量保证</w:t>
      </w:r>
    </w:p>
    <w:p>
      <w:pPr>
        <w:spacing w:line="360" w:lineRule="auto"/>
        <w:ind w:left="520" w:hanging="520"/>
        <w:rPr>
          <w:rFonts w:ascii="宋体" w:hAnsi="宋体"/>
          <w:sz w:val="24"/>
          <w:szCs w:val="24"/>
        </w:rPr>
      </w:pPr>
      <w:r>
        <w:rPr>
          <w:rFonts w:hint="eastAsia" w:ascii="宋体" w:hAnsi="宋体"/>
          <w:color w:val="000000"/>
          <w:sz w:val="24"/>
          <w:szCs w:val="24"/>
        </w:rPr>
        <w:t>7.1卖方应保证货物是全新、未使用过的正品，并完全符合合同规定的质量、规格和性能的要求。卖方应保证其货物在正确安装、正常使用和保养条件下，在其使用寿命内应具有满意的性能。在验收后的个月质量保证期内，卖方应对由于设计、工艺或材料的缺陷而发生的任何不足或故障负责，费用由卖方负担。</w:t>
      </w:r>
    </w:p>
    <w:p>
      <w:pPr>
        <w:spacing w:line="360" w:lineRule="auto"/>
        <w:ind w:left="520" w:hanging="520"/>
        <w:rPr>
          <w:rFonts w:ascii="宋体" w:hAnsi="宋体"/>
          <w:sz w:val="24"/>
          <w:szCs w:val="24"/>
        </w:rPr>
      </w:pPr>
      <w:r>
        <w:rPr>
          <w:rFonts w:hint="eastAsia" w:ascii="宋体" w:hAnsi="宋体"/>
          <w:sz w:val="24"/>
          <w:szCs w:val="24"/>
        </w:rPr>
        <w:t>7.2根据当地质检局或有关部门检验结果，或者在质量保证期内，如果货物的数量、质量或规格与合同不符，或证明货物是有缺陷的，包括潜在的缺陷或使用不符合要求的材料等，买方应尽快以书面形式向卖方提出本保证下的索赔。</w:t>
      </w:r>
    </w:p>
    <w:p>
      <w:pPr>
        <w:spacing w:line="360" w:lineRule="auto"/>
        <w:ind w:left="520" w:hanging="520"/>
        <w:rPr>
          <w:rFonts w:ascii="宋体" w:hAnsi="宋体"/>
          <w:sz w:val="24"/>
          <w:szCs w:val="24"/>
        </w:rPr>
      </w:pPr>
      <w:r>
        <w:rPr>
          <w:rFonts w:hint="eastAsia" w:ascii="宋体" w:hAnsi="宋体"/>
          <w:sz w:val="24"/>
          <w:szCs w:val="24"/>
        </w:rPr>
        <w:t>7.3关于维修服务和技术支持的质量保障见第三部分“技术部分”要求。</w:t>
      </w:r>
    </w:p>
    <w:p>
      <w:pPr>
        <w:spacing w:before="120" w:line="360" w:lineRule="auto"/>
        <w:rPr>
          <w:rFonts w:ascii="宋体" w:hAnsi="宋体"/>
          <w:b/>
          <w:sz w:val="24"/>
          <w:szCs w:val="24"/>
        </w:rPr>
      </w:pPr>
      <w:r>
        <w:rPr>
          <w:rFonts w:hint="eastAsia" w:ascii="宋体" w:hAnsi="宋体"/>
          <w:b/>
          <w:sz w:val="24"/>
          <w:szCs w:val="24"/>
        </w:rPr>
        <w:t>8.检验</w:t>
      </w:r>
    </w:p>
    <w:p>
      <w:pPr>
        <w:spacing w:before="120" w:line="360" w:lineRule="auto"/>
        <w:rPr>
          <w:rFonts w:ascii="宋体" w:hAnsi="宋体"/>
          <w:b/>
          <w:sz w:val="24"/>
          <w:szCs w:val="24"/>
        </w:rPr>
      </w:pPr>
      <w:r>
        <w:rPr>
          <w:rFonts w:hint="eastAsia" w:ascii="宋体" w:hAnsi="宋体"/>
          <w:sz w:val="24"/>
          <w:szCs w:val="24"/>
        </w:rPr>
        <w:t>8.1在发货前，卖方应对货物的质量、规格、性能、数量和重量等进行准确而全面的检验，并出具一份证明货物符合合同规定的证书。但有关质量、规格、性能、数量或重要的检验不应视为最终检验。卖方检验的结果和详细要求应在质量证书中加以说明。</w:t>
      </w:r>
    </w:p>
    <w:p>
      <w:pPr>
        <w:spacing w:before="120" w:line="360" w:lineRule="auto"/>
        <w:rPr>
          <w:rFonts w:ascii="宋体" w:hAnsi="宋体"/>
          <w:sz w:val="24"/>
          <w:szCs w:val="24"/>
        </w:rPr>
      </w:pPr>
      <w:r>
        <w:rPr>
          <w:rFonts w:hint="eastAsia" w:ascii="宋体" w:hAnsi="宋体"/>
          <w:sz w:val="24"/>
          <w:szCs w:val="24"/>
        </w:rPr>
        <w:t>8.2如果货物的质量和规格与合同不符，或在第7条规定的质量保证期内证实货物是有缺陷的，包括潜在缺陷或使用不符合要求的材料，买方应报请当地质检局或有关部门进行检查，并有权凭质检证书向卖方提出索赔。</w:t>
      </w:r>
    </w:p>
    <w:p>
      <w:pPr>
        <w:spacing w:before="120" w:line="360" w:lineRule="auto"/>
        <w:rPr>
          <w:rFonts w:ascii="宋体" w:hAnsi="宋体"/>
          <w:sz w:val="24"/>
          <w:szCs w:val="24"/>
        </w:rPr>
      </w:pPr>
      <w:r>
        <w:rPr>
          <w:rFonts w:hint="eastAsia" w:ascii="宋体" w:hAnsi="宋体"/>
          <w:sz w:val="24"/>
          <w:szCs w:val="24"/>
        </w:rPr>
        <w:t>8.3</w:t>
      </w:r>
      <w:r>
        <w:rPr>
          <w:rFonts w:hint="eastAsia" w:ascii="宋体" w:hAnsi="宋体"/>
          <w:sz w:val="24"/>
        </w:rPr>
        <w:t>货物送到后7个工作日内，由买方后勤保障处及使用科室相关人员与卖方一起进行检验。</w:t>
      </w:r>
    </w:p>
    <w:p>
      <w:pPr>
        <w:numPr>
          <w:ilvl w:val="0"/>
          <w:numId w:val="12"/>
        </w:numPr>
        <w:spacing w:line="360" w:lineRule="auto"/>
        <w:rPr>
          <w:rFonts w:ascii="宋体" w:hAnsi="宋体"/>
          <w:b/>
          <w:sz w:val="24"/>
          <w:szCs w:val="24"/>
        </w:rPr>
      </w:pPr>
      <w:r>
        <w:rPr>
          <w:rFonts w:hint="eastAsia" w:ascii="宋体" w:hAnsi="宋体"/>
          <w:b/>
          <w:sz w:val="24"/>
          <w:szCs w:val="24"/>
        </w:rPr>
        <w:t>索赔</w:t>
      </w:r>
    </w:p>
    <w:p>
      <w:pPr>
        <w:numPr>
          <w:ilvl w:val="1"/>
          <w:numId w:val="12"/>
        </w:numPr>
        <w:tabs>
          <w:tab w:val="left" w:pos="540"/>
          <w:tab w:val="clear" w:pos="1095"/>
        </w:tabs>
        <w:spacing w:after="120" w:line="360" w:lineRule="auto"/>
        <w:ind w:left="540" w:hanging="540"/>
        <w:rPr>
          <w:rFonts w:ascii="宋体" w:hAnsi="宋体"/>
          <w:color w:val="000000"/>
          <w:sz w:val="24"/>
          <w:szCs w:val="24"/>
        </w:rPr>
      </w:pPr>
      <w:r>
        <w:rPr>
          <w:rFonts w:hint="eastAsia" w:ascii="宋体" w:hAnsi="宋体"/>
          <w:color w:val="000000"/>
          <w:sz w:val="24"/>
          <w:szCs w:val="24"/>
        </w:rPr>
        <w:t>根据当地质检局或有关部门出具的质检证书向卖方提出索赔，除责任应由保险公司或运输部门承担的之外。</w:t>
      </w:r>
    </w:p>
    <w:p>
      <w:pPr>
        <w:numPr>
          <w:ilvl w:val="1"/>
          <w:numId w:val="12"/>
        </w:numPr>
        <w:tabs>
          <w:tab w:val="left" w:pos="540"/>
          <w:tab w:val="clear" w:pos="1095"/>
        </w:tabs>
        <w:spacing w:after="120" w:line="360" w:lineRule="auto"/>
        <w:ind w:left="540" w:hanging="540"/>
        <w:rPr>
          <w:rFonts w:ascii="宋体" w:hAnsi="宋体"/>
          <w:sz w:val="24"/>
          <w:szCs w:val="24"/>
        </w:rPr>
      </w:pPr>
      <w:r>
        <w:rPr>
          <w:rFonts w:hint="eastAsia" w:ascii="宋体" w:hAnsi="宋体"/>
          <w:sz w:val="24"/>
          <w:szCs w:val="24"/>
        </w:rPr>
        <w:t>根据合同</w:t>
      </w:r>
      <w:r>
        <w:rPr>
          <w:rFonts w:hint="eastAsia" w:ascii="宋体" w:hAnsi="宋体"/>
          <w:color w:val="000000"/>
          <w:sz w:val="24"/>
          <w:szCs w:val="24"/>
        </w:rPr>
        <w:t>第7条和第8条</w:t>
      </w:r>
      <w:r>
        <w:rPr>
          <w:rFonts w:hint="eastAsia" w:ascii="宋体" w:hAnsi="宋体"/>
          <w:sz w:val="24"/>
          <w:szCs w:val="24"/>
        </w:rPr>
        <w:t xml:space="preserve">规定的检验条款和质量保证期内，如果卖方对买方提出的索赔和差异负有责任，卖方应按照买方同意的下列一种或多种方式解决索赔事宜。  </w:t>
      </w:r>
    </w:p>
    <w:p>
      <w:pPr>
        <w:spacing w:line="360" w:lineRule="auto"/>
        <w:ind w:left="836" w:leftChars="171" w:hanging="477" w:hangingChars="199"/>
        <w:rPr>
          <w:rFonts w:ascii="宋体" w:hAnsi="宋体"/>
          <w:sz w:val="24"/>
          <w:szCs w:val="24"/>
        </w:rPr>
      </w:pPr>
      <w:r>
        <w:rPr>
          <w:rFonts w:hint="eastAsia" w:ascii="宋体" w:hAnsi="宋体"/>
          <w:sz w:val="24"/>
          <w:szCs w:val="24"/>
        </w:rPr>
        <w:t>(1) 卖方同意退货，并用合同中规定的同种货币将货款退还给买方，并承担由此发生的一切损失和费用，包括利息、银行手续费、运费、保险费、检验费、仓储费、装卸费以及为保护拒收的货物所需的其它必要费用。</w:t>
      </w:r>
    </w:p>
    <w:p>
      <w:pPr>
        <w:spacing w:line="360" w:lineRule="auto"/>
        <w:ind w:left="836" w:leftChars="171" w:hanging="477" w:hangingChars="199"/>
        <w:rPr>
          <w:rFonts w:ascii="宋体" w:hAnsi="宋体"/>
          <w:sz w:val="24"/>
          <w:szCs w:val="24"/>
        </w:rPr>
      </w:pPr>
      <w:r>
        <w:rPr>
          <w:rFonts w:hint="eastAsia" w:ascii="宋体" w:hAnsi="宋体"/>
          <w:sz w:val="24"/>
          <w:szCs w:val="24"/>
        </w:rPr>
        <w:t>(2) 根据货物的低劣程度、损坏程度以及买方所遭受损失的数额，经买卖双方商定同意降低货物的价格。</w:t>
      </w:r>
    </w:p>
    <w:p>
      <w:pPr>
        <w:spacing w:line="360" w:lineRule="auto"/>
        <w:ind w:left="836" w:leftChars="171" w:hanging="477" w:hangingChars="199"/>
        <w:rPr>
          <w:rFonts w:ascii="宋体" w:hAnsi="宋体"/>
          <w:sz w:val="24"/>
          <w:szCs w:val="24"/>
        </w:rPr>
      </w:pPr>
      <w:r>
        <w:rPr>
          <w:rFonts w:hint="eastAsia" w:ascii="宋体" w:hAnsi="宋体"/>
          <w:sz w:val="24"/>
          <w:szCs w:val="24"/>
        </w:rPr>
        <w:t>(3) 用符合规定要求的新零件、部件或设备来更换有缺陷的部分，卖方应承担一切费用和风险并负担买方所遭受的一切直接费用。同时，卖方应按合同第8条规定，对更换件相应延长质量保证期。</w:t>
      </w:r>
    </w:p>
    <w:p>
      <w:pPr>
        <w:numPr>
          <w:ilvl w:val="1"/>
          <w:numId w:val="12"/>
        </w:numPr>
        <w:tabs>
          <w:tab w:val="left" w:pos="540"/>
          <w:tab w:val="clear" w:pos="1095"/>
        </w:tabs>
        <w:spacing w:after="120" w:line="360" w:lineRule="auto"/>
        <w:ind w:left="540" w:hanging="540"/>
        <w:rPr>
          <w:rFonts w:ascii="宋体" w:hAnsi="宋体"/>
          <w:color w:val="000000"/>
          <w:sz w:val="24"/>
          <w:szCs w:val="24"/>
        </w:rPr>
      </w:pPr>
      <w:r>
        <w:rPr>
          <w:rFonts w:hint="eastAsia" w:ascii="宋体" w:hAnsi="宋体"/>
          <w:color w:val="000000"/>
          <w:sz w:val="24"/>
          <w:szCs w:val="24"/>
        </w:rPr>
        <w:t>如果在买方发出索赔通知后20天内，卖方未作答复，上述索赔应视为已被卖方接受，买方将按照本合同第9</w:t>
      </w:r>
      <w:r>
        <w:rPr>
          <w:rFonts w:ascii="宋体" w:hAnsi="宋体"/>
          <w:color w:val="000000"/>
          <w:sz w:val="24"/>
          <w:szCs w:val="24"/>
        </w:rPr>
        <w:t xml:space="preserve">.2 </w:t>
      </w:r>
      <w:r>
        <w:rPr>
          <w:rFonts w:hint="eastAsia" w:ascii="宋体" w:hAnsi="宋体"/>
          <w:color w:val="000000"/>
          <w:sz w:val="24"/>
          <w:szCs w:val="24"/>
        </w:rPr>
        <w:t>条规定的任何一种方法要求卖方解决索赔事宜。</w:t>
      </w:r>
    </w:p>
    <w:p>
      <w:pPr>
        <w:spacing w:line="360" w:lineRule="auto"/>
        <w:ind w:left="520" w:hanging="520"/>
        <w:rPr>
          <w:rFonts w:ascii="宋体" w:hAnsi="宋体"/>
          <w:b/>
          <w:sz w:val="24"/>
          <w:szCs w:val="24"/>
        </w:rPr>
      </w:pPr>
      <w:r>
        <w:rPr>
          <w:rFonts w:hint="eastAsia" w:ascii="宋体" w:hAnsi="宋体"/>
          <w:b/>
          <w:sz w:val="24"/>
          <w:szCs w:val="24"/>
        </w:rPr>
        <w:t>10不可抗力</w:t>
      </w:r>
    </w:p>
    <w:p>
      <w:pPr>
        <w:spacing w:line="360" w:lineRule="auto"/>
        <w:ind w:left="580" w:hanging="580"/>
        <w:rPr>
          <w:rFonts w:ascii="宋体" w:hAnsi="宋体"/>
          <w:sz w:val="24"/>
          <w:szCs w:val="24"/>
        </w:rPr>
      </w:pPr>
      <w:r>
        <w:rPr>
          <w:rFonts w:hint="eastAsia" w:ascii="宋体" w:hAnsi="宋体"/>
          <w:sz w:val="24"/>
          <w:szCs w:val="24"/>
        </w:rPr>
        <w:t>10</w:t>
      </w:r>
      <w:r>
        <w:rPr>
          <w:rFonts w:ascii="宋体" w:hAnsi="宋体"/>
          <w:sz w:val="24"/>
          <w:szCs w:val="24"/>
        </w:rPr>
        <w:t>.1</w:t>
      </w:r>
      <w:r>
        <w:rPr>
          <w:rFonts w:hint="eastAsia" w:ascii="宋体" w:hAnsi="宋体"/>
          <w:sz w:val="24"/>
          <w:szCs w:val="24"/>
        </w:rPr>
        <w:t>如果双方任何一方由于经双方同意属于不可抗力的事故，致使影响合同履行时，履行合同的期限应予以延长，延长的期限应相当于事故所影响的时间。</w:t>
      </w:r>
    </w:p>
    <w:p>
      <w:pPr>
        <w:spacing w:after="120" w:line="360" w:lineRule="auto"/>
        <w:ind w:left="522" w:hanging="522"/>
        <w:rPr>
          <w:rFonts w:ascii="宋体" w:hAnsi="宋体"/>
          <w:sz w:val="24"/>
          <w:szCs w:val="24"/>
        </w:rPr>
      </w:pPr>
      <w:r>
        <w:rPr>
          <w:rFonts w:hint="eastAsia" w:ascii="宋体" w:hAnsi="宋体"/>
          <w:sz w:val="24"/>
          <w:szCs w:val="24"/>
        </w:rPr>
        <w:t>10</w:t>
      </w:r>
      <w:r>
        <w:rPr>
          <w:rFonts w:ascii="宋体" w:hAnsi="宋体"/>
          <w:sz w:val="24"/>
          <w:szCs w:val="24"/>
        </w:rPr>
        <w:t xml:space="preserve">.2 </w:t>
      </w:r>
      <w:r>
        <w:rPr>
          <w:rFonts w:hint="eastAsia" w:ascii="宋体" w:hAnsi="宋体"/>
          <w:sz w:val="24"/>
          <w:szCs w:val="24"/>
        </w:rPr>
        <w:t>受事故影响的一方应在不可抗力发生后尽快以传真通知另一方，并在事故发生后14天内，将有关部门出具的证明文件用挂号信寄给另一方。如果不可抗力影响时间延续120天以上时，双方应通过友好协商在合理的时间内达成进一步履行合同的协议。</w:t>
      </w:r>
    </w:p>
    <w:p>
      <w:pPr>
        <w:spacing w:after="120" w:line="360" w:lineRule="auto"/>
        <w:ind w:left="522" w:hanging="522"/>
        <w:rPr>
          <w:rFonts w:ascii="宋体" w:hAnsi="宋体"/>
          <w:b/>
          <w:sz w:val="24"/>
          <w:szCs w:val="24"/>
        </w:rPr>
      </w:pPr>
      <w:r>
        <w:rPr>
          <w:rFonts w:hint="eastAsia" w:ascii="宋体" w:hAnsi="宋体"/>
          <w:b/>
          <w:sz w:val="24"/>
          <w:szCs w:val="24"/>
        </w:rPr>
        <w:t>11. 税费</w:t>
      </w:r>
    </w:p>
    <w:p>
      <w:pPr>
        <w:spacing w:after="120" w:line="360" w:lineRule="auto"/>
        <w:ind w:left="522" w:hanging="522"/>
        <w:rPr>
          <w:rFonts w:ascii="宋体" w:hAnsi="宋体"/>
          <w:sz w:val="24"/>
          <w:szCs w:val="24"/>
        </w:rPr>
      </w:pPr>
      <w:r>
        <w:rPr>
          <w:rFonts w:ascii="宋体" w:hAnsi="宋体"/>
          <w:sz w:val="24"/>
          <w:szCs w:val="24"/>
        </w:rPr>
        <w:t>1</w:t>
      </w:r>
      <w:r>
        <w:rPr>
          <w:rFonts w:hint="eastAsia" w:ascii="宋体" w:hAnsi="宋体"/>
          <w:sz w:val="24"/>
          <w:szCs w:val="24"/>
        </w:rPr>
        <w:t>1</w:t>
      </w:r>
      <w:r>
        <w:rPr>
          <w:rFonts w:ascii="宋体" w:hAnsi="宋体"/>
          <w:sz w:val="24"/>
          <w:szCs w:val="24"/>
        </w:rPr>
        <w:t>.1</w:t>
      </w:r>
      <w:r>
        <w:rPr>
          <w:rFonts w:hint="eastAsia" w:ascii="宋体" w:hAnsi="宋体"/>
          <w:sz w:val="24"/>
          <w:szCs w:val="24"/>
        </w:rPr>
        <w:t>中国政府根据现行税法对卖方征收的与本合同有关的一切税费均由卖方负担</w:t>
      </w:r>
      <w:r>
        <w:rPr>
          <w:rFonts w:ascii="宋体" w:hAnsi="宋体"/>
          <w:sz w:val="24"/>
          <w:szCs w:val="24"/>
        </w:rPr>
        <w:t>,</w:t>
      </w:r>
      <w:r>
        <w:rPr>
          <w:rFonts w:hint="eastAsia" w:ascii="宋体" w:hAnsi="宋体"/>
          <w:sz w:val="24"/>
          <w:szCs w:val="24"/>
        </w:rPr>
        <w:t xml:space="preserve"> 对买方征收的与本合同有关的一切税费均由买方负担。</w:t>
      </w:r>
    </w:p>
    <w:p>
      <w:pPr>
        <w:spacing w:line="360" w:lineRule="auto"/>
        <w:ind w:left="520" w:hanging="520"/>
        <w:rPr>
          <w:rFonts w:ascii="宋体" w:hAnsi="宋体"/>
          <w:b/>
          <w:sz w:val="24"/>
          <w:szCs w:val="24"/>
        </w:rPr>
      </w:pPr>
      <w:r>
        <w:rPr>
          <w:rFonts w:hint="eastAsia" w:ascii="宋体" w:hAnsi="宋体"/>
          <w:b/>
          <w:sz w:val="24"/>
          <w:szCs w:val="24"/>
        </w:rPr>
        <w:t>12. 仲裁</w:t>
      </w:r>
    </w:p>
    <w:p>
      <w:pPr>
        <w:spacing w:line="360" w:lineRule="auto"/>
        <w:ind w:left="520" w:hanging="520"/>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 xml:space="preserve">.1 </w:t>
      </w:r>
      <w:r>
        <w:rPr>
          <w:rFonts w:hint="eastAsia" w:ascii="宋体" w:hAnsi="宋体"/>
          <w:sz w:val="24"/>
          <w:szCs w:val="24"/>
        </w:rPr>
        <w:t>在执行本合同中所发生的或与本合同有关的一切争端，买卖双方应通过友好协商解决。如从协商开始60天内仍不能解决，双方应将争端提交有关省、市政府或行业主管部门寻求可能解决的办法。如果提交有关省、市政府或行业主管部门仍得不到解决，则应申请仲裁。</w:t>
      </w:r>
    </w:p>
    <w:p>
      <w:pPr>
        <w:spacing w:line="360" w:lineRule="auto"/>
        <w:ind w:left="520" w:hanging="520"/>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.2</w:t>
      </w:r>
      <w:r>
        <w:rPr>
          <w:rFonts w:hint="eastAsia" w:ascii="宋体" w:hAnsi="宋体"/>
          <w:sz w:val="24"/>
          <w:szCs w:val="24"/>
        </w:rPr>
        <w:t xml:space="preserve"> 仲裁应根据《中华人民共和国仲裁法》的规定向当地有管辖权的仲裁机构申请仲裁。</w:t>
      </w:r>
    </w:p>
    <w:p>
      <w:pPr>
        <w:spacing w:line="360" w:lineRule="auto"/>
        <w:ind w:left="520" w:hanging="520"/>
        <w:rPr>
          <w:rFonts w:ascii="宋体" w:hAnsi="宋体"/>
          <w:sz w:val="24"/>
          <w:szCs w:val="24"/>
        </w:rPr>
      </w:pPr>
      <w:r>
        <w:rPr>
          <w:rFonts w:hint="eastAsia" w:ascii="宋体" w:hAnsi="宋体"/>
          <w:sz w:val="24"/>
          <w:szCs w:val="24"/>
        </w:rPr>
        <w:t>12</w:t>
      </w:r>
      <w:r>
        <w:rPr>
          <w:rFonts w:ascii="宋体" w:hAnsi="宋体"/>
          <w:sz w:val="24"/>
          <w:szCs w:val="24"/>
        </w:rPr>
        <w:t xml:space="preserve">.3 </w:t>
      </w:r>
      <w:r>
        <w:rPr>
          <w:rFonts w:hint="eastAsia" w:ascii="宋体" w:hAnsi="宋体"/>
          <w:sz w:val="24"/>
          <w:szCs w:val="24"/>
        </w:rPr>
        <w:t>仲裁裁决应为终局裁决，对双方均有约束力。</w:t>
      </w:r>
    </w:p>
    <w:p>
      <w:pPr>
        <w:spacing w:after="120" w:line="360" w:lineRule="auto"/>
        <w:ind w:left="522" w:hanging="522"/>
        <w:rPr>
          <w:rFonts w:ascii="宋体" w:hAnsi="宋体"/>
          <w:sz w:val="24"/>
          <w:szCs w:val="24"/>
        </w:rPr>
      </w:pPr>
      <w:r>
        <w:rPr>
          <w:rFonts w:ascii="宋体" w:hAnsi="宋体"/>
          <w:sz w:val="24"/>
          <w:szCs w:val="24"/>
        </w:rPr>
        <w:t>1</w:t>
      </w:r>
      <w:r>
        <w:rPr>
          <w:rFonts w:hint="eastAsia" w:ascii="宋体" w:hAnsi="宋体"/>
          <w:sz w:val="24"/>
          <w:szCs w:val="24"/>
        </w:rPr>
        <w:t>2</w:t>
      </w:r>
      <w:r>
        <w:rPr>
          <w:rFonts w:ascii="宋体" w:hAnsi="宋体"/>
          <w:sz w:val="24"/>
          <w:szCs w:val="24"/>
        </w:rPr>
        <w:t xml:space="preserve">.4 </w:t>
      </w:r>
      <w:r>
        <w:rPr>
          <w:rFonts w:hint="eastAsia" w:ascii="宋体" w:hAnsi="宋体"/>
          <w:sz w:val="24"/>
          <w:szCs w:val="24"/>
        </w:rPr>
        <w:t>在仲裁期间，本合同应继续执行。</w:t>
      </w:r>
    </w:p>
    <w:p>
      <w:pPr>
        <w:spacing w:line="360" w:lineRule="auto"/>
        <w:ind w:left="520" w:hanging="520"/>
        <w:rPr>
          <w:rFonts w:ascii="宋体" w:hAnsi="宋体"/>
          <w:b/>
          <w:sz w:val="24"/>
          <w:szCs w:val="24"/>
        </w:rPr>
      </w:pPr>
      <w:r>
        <w:rPr>
          <w:rFonts w:hint="eastAsia" w:ascii="宋体" w:hAnsi="宋体"/>
          <w:b/>
          <w:sz w:val="24"/>
          <w:szCs w:val="24"/>
        </w:rPr>
        <w:t>13. 违约终止合同</w:t>
      </w:r>
    </w:p>
    <w:p>
      <w:pPr>
        <w:spacing w:line="360" w:lineRule="auto"/>
        <w:ind w:left="520" w:right="17" w:hanging="520"/>
        <w:rPr>
          <w:rFonts w:ascii="宋体" w:hAnsi="宋体"/>
          <w:sz w:val="24"/>
          <w:szCs w:val="24"/>
        </w:rPr>
      </w:pPr>
      <w:r>
        <w:rPr>
          <w:rFonts w:hint="eastAsia" w:ascii="宋体" w:hAnsi="宋体"/>
          <w:sz w:val="24"/>
          <w:szCs w:val="24"/>
        </w:rPr>
        <w:t>13</w:t>
      </w:r>
      <w:r>
        <w:rPr>
          <w:rFonts w:ascii="宋体" w:hAnsi="宋体"/>
          <w:sz w:val="24"/>
          <w:szCs w:val="24"/>
        </w:rPr>
        <w:t>.1</w:t>
      </w:r>
      <w:r>
        <w:rPr>
          <w:rFonts w:hint="eastAsia" w:ascii="宋体" w:hAnsi="宋体"/>
          <w:sz w:val="24"/>
          <w:szCs w:val="24"/>
        </w:rPr>
        <w:t xml:space="preserve"> 如果卖方有如下违约行为，在买方对卖方违约而采取的任何补救措施不受影响的情况下，买方可向卖方发出书面违约通知，从而终止部分或全部合同。</w:t>
      </w:r>
    </w:p>
    <w:p>
      <w:pPr>
        <w:spacing w:line="360" w:lineRule="auto"/>
        <w:ind w:left="957" w:leftChars="257" w:right="17" w:hanging="417" w:hangingChars="174"/>
        <w:rPr>
          <w:rFonts w:ascii="宋体" w:hAnsi="宋体"/>
          <w:sz w:val="24"/>
          <w:szCs w:val="24"/>
        </w:rPr>
      </w:pPr>
      <w:r>
        <w:rPr>
          <w:rFonts w:hint="eastAsia" w:ascii="宋体" w:hAnsi="宋体"/>
          <w:sz w:val="24"/>
          <w:szCs w:val="24"/>
        </w:rPr>
        <w:t>(1) 除合同第10条规定外，如果卖方未能按合同规定的期限或买方同意延长的限期内交货，交货每延期一天，买方将从合同款中扣除合同价款的1‰作为卖方违约金，若到货期延迟超过30天，买方有权终止合同；</w:t>
      </w:r>
    </w:p>
    <w:p>
      <w:pPr>
        <w:spacing w:line="360" w:lineRule="auto"/>
        <w:ind w:left="957" w:leftChars="257" w:right="17" w:hanging="417" w:hangingChars="174"/>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 卖方在收到买方发出的违约通知后20天内，或经买方书面认可延长的时间内未能纠正其过失；</w:t>
      </w:r>
    </w:p>
    <w:p>
      <w:pPr>
        <w:spacing w:line="360" w:lineRule="auto"/>
        <w:ind w:left="837" w:leftChars="257" w:right="17" w:hanging="297" w:hangingChars="124"/>
        <w:rPr>
          <w:rFonts w:ascii="宋体" w:hAnsi="宋体"/>
          <w:sz w:val="24"/>
          <w:szCs w:val="24"/>
        </w:rPr>
      </w:pPr>
      <w:r>
        <w:rPr>
          <w:rFonts w:hint="eastAsia" w:ascii="宋体" w:hAnsi="宋体"/>
          <w:sz w:val="24"/>
          <w:szCs w:val="24"/>
        </w:rPr>
        <w:t>(3) 如果卖方未能履行合同规定的其它任何义务。</w:t>
      </w:r>
    </w:p>
    <w:p>
      <w:pPr>
        <w:spacing w:after="120" w:line="360" w:lineRule="auto"/>
        <w:ind w:left="522" w:right="17" w:hanging="522"/>
        <w:rPr>
          <w:rFonts w:ascii="宋体" w:hAnsi="宋体"/>
          <w:sz w:val="24"/>
          <w:szCs w:val="24"/>
        </w:rPr>
      </w:pPr>
      <w:r>
        <w:rPr>
          <w:rFonts w:hint="eastAsia" w:ascii="宋体" w:hAnsi="宋体"/>
          <w:sz w:val="24"/>
          <w:szCs w:val="24"/>
        </w:rPr>
        <w:t>13</w:t>
      </w:r>
      <w:r>
        <w:rPr>
          <w:rFonts w:ascii="宋体" w:hAnsi="宋体"/>
          <w:sz w:val="24"/>
          <w:szCs w:val="24"/>
        </w:rPr>
        <w:t>.2</w:t>
      </w:r>
      <w:r>
        <w:rPr>
          <w:rFonts w:hint="eastAsia" w:ascii="宋体" w:hAnsi="宋体"/>
          <w:sz w:val="24"/>
          <w:szCs w:val="24"/>
        </w:rPr>
        <w:t xml:space="preserve"> 在买方根据上述第13</w:t>
      </w:r>
      <w:r>
        <w:rPr>
          <w:rFonts w:ascii="宋体" w:hAnsi="宋体"/>
          <w:sz w:val="24"/>
          <w:szCs w:val="24"/>
        </w:rPr>
        <w:t>.1</w:t>
      </w:r>
      <w:r>
        <w:rPr>
          <w:rFonts w:hint="eastAsia" w:ascii="宋体" w:hAnsi="宋体"/>
          <w:sz w:val="24"/>
          <w:szCs w:val="24"/>
        </w:rPr>
        <w:t>条规定，终止了全部或部分合同后，买方可以依其认为适当的条件和方法购买类似未交的货物，卖方应对买方购买类似货物所超出的费用部分负责，并继续执行合同中未终止部分。</w:t>
      </w:r>
    </w:p>
    <w:p>
      <w:pPr>
        <w:spacing w:after="120" w:line="360" w:lineRule="auto"/>
        <w:ind w:left="522" w:right="17" w:hanging="522"/>
        <w:rPr>
          <w:rFonts w:ascii="宋体" w:hAnsi="宋体"/>
          <w:sz w:val="24"/>
          <w:szCs w:val="24"/>
        </w:rPr>
      </w:pPr>
      <w:r>
        <w:rPr>
          <w:rFonts w:hint="eastAsia" w:ascii="宋体" w:hAnsi="宋体"/>
          <w:sz w:val="24"/>
          <w:szCs w:val="24"/>
        </w:rPr>
        <w:t>13</w:t>
      </w:r>
      <w:r>
        <w:rPr>
          <w:rFonts w:ascii="宋体" w:hAnsi="宋体"/>
          <w:sz w:val="24"/>
          <w:szCs w:val="24"/>
        </w:rPr>
        <w:t>.3</w:t>
      </w:r>
      <w:r>
        <w:rPr>
          <w:rFonts w:hint="eastAsia" w:ascii="宋体" w:hAnsi="宋体"/>
          <w:sz w:val="24"/>
          <w:szCs w:val="24"/>
        </w:rPr>
        <w:t>卖方在招投标过程中或合同履行过程中存在违反国家法律、行政法规、部门规章以及规范性法律文件等国家法律法规和政策规定，以及买方有关要求的，致使合同无法履行或合同继续履行将损害买方利益（包括但不限于财产损失、名誉损失以及单位或相关人员承担民事、行政、刑事责任等）的，买方有权随时解除本合同，且不承担任何违约责任。同时，买方有权要求卖方支付违约金（具体金额或者合同标的额的百分比参照合同文件中关于违约责任的相关条款），违约金不足以弥补买方损失的，买方有权要求向卖方追偿以弥补损失。</w:t>
      </w:r>
    </w:p>
    <w:p>
      <w:pPr>
        <w:spacing w:after="120" w:line="360" w:lineRule="auto"/>
        <w:ind w:left="522" w:right="17" w:hanging="522"/>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.4</w:t>
      </w:r>
      <w:r>
        <w:rPr>
          <w:rFonts w:hint="eastAsia" w:ascii="宋体" w:hAnsi="宋体"/>
          <w:sz w:val="24"/>
          <w:szCs w:val="24"/>
        </w:rPr>
        <w:t>发生前述情形所造成的一切责任由卖方承担，该等责任包括但不限于对买卖双方、双方工作人员、第三人的人身、财产的损失赔偿以及有关部门罚款的承担等。如买方因卖方前述行为而承担任何责任的，买方有权向卖方追偿，且卖方应承担买方为实现权利救济而支出的一切费用，该等费用包括但不限于公证费、诉讼费、保全费、公告费、律师费、差旅费等。</w:t>
      </w:r>
    </w:p>
    <w:p>
      <w:pPr>
        <w:spacing w:after="120" w:line="360" w:lineRule="auto"/>
        <w:ind w:left="522" w:right="17" w:hanging="522"/>
        <w:rPr>
          <w:rFonts w:ascii="宋体" w:hAnsi="宋体"/>
          <w:sz w:val="24"/>
          <w:szCs w:val="24"/>
        </w:rPr>
      </w:pPr>
      <w:r>
        <w:rPr>
          <w:rFonts w:ascii="宋体" w:hAnsi="宋体"/>
          <w:sz w:val="24"/>
          <w:szCs w:val="24"/>
        </w:rPr>
        <w:t>1</w:t>
      </w:r>
      <w:r>
        <w:rPr>
          <w:rFonts w:hint="eastAsia" w:ascii="宋体" w:hAnsi="宋体"/>
          <w:sz w:val="24"/>
          <w:szCs w:val="24"/>
        </w:rPr>
        <w:t>3</w:t>
      </w:r>
      <w:r>
        <w:rPr>
          <w:rFonts w:ascii="宋体" w:hAnsi="宋体"/>
          <w:sz w:val="24"/>
          <w:szCs w:val="24"/>
        </w:rPr>
        <w:t>.5</w:t>
      </w:r>
      <w:r>
        <w:rPr>
          <w:rFonts w:hint="eastAsia" w:ascii="宋体" w:hAnsi="宋体"/>
          <w:sz w:val="24"/>
          <w:szCs w:val="24"/>
        </w:rPr>
        <w:t>买方向卖方发出解除合同通知之日起3日内本合同解除。卖方应于本合同解除之日起3日自行退场，并于收到买方赔偿通知之日起3日内向买方支付违约金及各项损失赔偿金。</w:t>
      </w:r>
    </w:p>
    <w:p>
      <w:pPr>
        <w:spacing w:line="360" w:lineRule="auto"/>
        <w:ind w:left="520" w:hanging="520"/>
        <w:rPr>
          <w:rFonts w:ascii="宋体" w:hAnsi="宋体"/>
          <w:b/>
          <w:sz w:val="24"/>
          <w:szCs w:val="24"/>
        </w:rPr>
      </w:pPr>
      <w:r>
        <w:rPr>
          <w:rFonts w:hint="eastAsia" w:ascii="宋体" w:hAnsi="宋体"/>
          <w:b/>
          <w:sz w:val="24"/>
          <w:szCs w:val="24"/>
        </w:rPr>
        <w:t>14. 破产终止合同</w:t>
      </w:r>
    </w:p>
    <w:p>
      <w:pPr>
        <w:spacing w:after="120" w:line="360" w:lineRule="auto"/>
        <w:ind w:left="522" w:hanging="522"/>
        <w:rPr>
          <w:rFonts w:ascii="宋体" w:hAnsi="宋体"/>
          <w:sz w:val="24"/>
          <w:szCs w:val="24"/>
        </w:rPr>
      </w:pPr>
      <w:r>
        <w:rPr>
          <w:rFonts w:hint="eastAsia" w:ascii="宋体" w:hAnsi="宋体"/>
          <w:sz w:val="24"/>
          <w:szCs w:val="24"/>
        </w:rPr>
        <w:t>14</w:t>
      </w:r>
      <w:r>
        <w:rPr>
          <w:rFonts w:ascii="宋体" w:hAnsi="宋体"/>
          <w:sz w:val="24"/>
          <w:szCs w:val="24"/>
        </w:rPr>
        <w:t>.1</w:t>
      </w:r>
      <w:r>
        <w:rPr>
          <w:rFonts w:hint="eastAsia" w:ascii="宋体" w:hAnsi="宋体"/>
          <w:sz w:val="24"/>
          <w:szCs w:val="24"/>
        </w:rPr>
        <w:t xml:space="preserve"> 如果卖方破产或无清偿能力时，买方可在任何时候以书面形式通知卖方终止合同，终止该合同将不损害或影响买方已经采取或将要采取的补救措施的权利。</w:t>
      </w:r>
    </w:p>
    <w:p>
      <w:pPr>
        <w:spacing w:line="360" w:lineRule="auto"/>
        <w:ind w:left="520" w:hanging="520"/>
        <w:rPr>
          <w:rFonts w:ascii="宋体" w:hAnsi="宋体"/>
          <w:b/>
          <w:sz w:val="24"/>
          <w:szCs w:val="24"/>
        </w:rPr>
      </w:pPr>
      <w:r>
        <w:rPr>
          <w:rFonts w:hint="eastAsia" w:ascii="宋体" w:hAnsi="宋体"/>
          <w:b/>
          <w:sz w:val="24"/>
          <w:szCs w:val="24"/>
        </w:rPr>
        <w:t>15. 转让</w:t>
      </w:r>
    </w:p>
    <w:p>
      <w:pPr>
        <w:spacing w:after="120" w:line="360" w:lineRule="auto"/>
        <w:ind w:left="578" w:hanging="578"/>
        <w:rPr>
          <w:rFonts w:ascii="宋体" w:hAnsi="宋体"/>
          <w:sz w:val="24"/>
          <w:szCs w:val="24"/>
        </w:rPr>
      </w:pPr>
      <w:r>
        <w:rPr>
          <w:rFonts w:hint="eastAsia" w:ascii="宋体" w:hAnsi="宋体"/>
          <w:sz w:val="24"/>
          <w:szCs w:val="24"/>
        </w:rPr>
        <w:t>15</w:t>
      </w:r>
      <w:r>
        <w:rPr>
          <w:rFonts w:ascii="宋体" w:hAnsi="宋体"/>
          <w:sz w:val="24"/>
          <w:szCs w:val="24"/>
        </w:rPr>
        <w:t>.1</w:t>
      </w:r>
      <w:r>
        <w:rPr>
          <w:rFonts w:hint="eastAsia" w:ascii="宋体" w:hAnsi="宋体"/>
          <w:sz w:val="24"/>
          <w:szCs w:val="24"/>
        </w:rPr>
        <w:t xml:space="preserve"> 除买方事先书面同意外，卖方不得部分转让或全部转让其应履行的合同义务。</w:t>
      </w:r>
    </w:p>
    <w:p>
      <w:pPr>
        <w:spacing w:line="360" w:lineRule="auto"/>
        <w:ind w:left="520" w:hanging="520"/>
        <w:rPr>
          <w:rFonts w:ascii="宋体" w:hAnsi="宋体"/>
          <w:b/>
          <w:sz w:val="24"/>
          <w:szCs w:val="24"/>
        </w:rPr>
      </w:pPr>
      <w:r>
        <w:rPr>
          <w:rFonts w:hint="eastAsia" w:ascii="宋体" w:hAnsi="宋体"/>
          <w:b/>
          <w:sz w:val="24"/>
          <w:szCs w:val="24"/>
        </w:rPr>
        <w:t>16. 适用法律</w:t>
      </w:r>
    </w:p>
    <w:p>
      <w:pPr>
        <w:spacing w:after="120" w:line="360" w:lineRule="auto"/>
        <w:ind w:left="522" w:hanging="522"/>
        <w:rPr>
          <w:rFonts w:ascii="宋体" w:hAnsi="宋体"/>
          <w:sz w:val="24"/>
          <w:szCs w:val="24"/>
        </w:rPr>
      </w:pPr>
      <w:r>
        <w:rPr>
          <w:rFonts w:hint="eastAsia" w:ascii="宋体" w:hAnsi="宋体"/>
          <w:sz w:val="24"/>
          <w:szCs w:val="24"/>
        </w:rPr>
        <w:t>16</w:t>
      </w:r>
      <w:r>
        <w:rPr>
          <w:rFonts w:ascii="宋体" w:hAnsi="宋体"/>
          <w:sz w:val="24"/>
          <w:szCs w:val="24"/>
        </w:rPr>
        <w:t xml:space="preserve">.1 </w:t>
      </w:r>
      <w:r>
        <w:rPr>
          <w:rFonts w:hint="eastAsia" w:ascii="宋体" w:hAnsi="宋体"/>
          <w:sz w:val="24"/>
          <w:szCs w:val="24"/>
        </w:rPr>
        <w:t>本合同应按中华人民共和国的法律进行解释。</w:t>
      </w:r>
    </w:p>
    <w:p>
      <w:pPr>
        <w:spacing w:line="360" w:lineRule="auto"/>
        <w:ind w:left="520" w:hanging="520"/>
        <w:rPr>
          <w:rFonts w:ascii="宋体" w:hAnsi="宋体"/>
          <w:b/>
          <w:sz w:val="24"/>
          <w:szCs w:val="24"/>
        </w:rPr>
      </w:pPr>
      <w:r>
        <w:rPr>
          <w:rFonts w:hint="eastAsia" w:ascii="宋体" w:hAnsi="宋体"/>
          <w:b/>
          <w:sz w:val="24"/>
          <w:szCs w:val="24"/>
        </w:rPr>
        <w:t>17. 合同生效及其它</w:t>
      </w:r>
    </w:p>
    <w:p>
      <w:pPr>
        <w:spacing w:line="360" w:lineRule="auto"/>
        <w:ind w:left="520" w:hanging="520"/>
        <w:rPr>
          <w:rFonts w:ascii="宋体" w:hAnsi="宋体"/>
          <w:sz w:val="24"/>
          <w:szCs w:val="24"/>
        </w:rPr>
      </w:pPr>
      <w:r>
        <w:rPr>
          <w:rFonts w:hint="eastAsia" w:ascii="宋体" w:hAnsi="宋体"/>
          <w:sz w:val="24"/>
          <w:szCs w:val="24"/>
        </w:rPr>
        <w:t>17</w:t>
      </w:r>
      <w:r>
        <w:rPr>
          <w:rFonts w:ascii="宋体" w:hAnsi="宋体"/>
          <w:sz w:val="24"/>
          <w:szCs w:val="24"/>
        </w:rPr>
        <w:t xml:space="preserve">.1 </w:t>
      </w:r>
      <w:r>
        <w:rPr>
          <w:rFonts w:hint="eastAsia" w:ascii="宋体" w:hAnsi="宋体"/>
          <w:sz w:val="24"/>
          <w:szCs w:val="24"/>
        </w:rPr>
        <w:t>合同应在双方签字盖章后即开始生效。</w:t>
      </w:r>
    </w:p>
    <w:p>
      <w:pPr>
        <w:spacing w:line="360" w:lineRule="auto"/>
        <w:ind w:left="520" w:hanging="520"/>
        <w:rPr>
          <w:rFonts w:ascii="宋体" w:hAnsi="宋体"/>
          <w:sz w:val="24"/>
          <w:szCs w:val="24"/>
        </w:rPr>
      </w:pPr>
      <w:r>
        <w:rPr>
          <w:rFonts w:hint="eastAsia" w:ascii="宋体" w:hAnsi="宋体"/>
          <w:sz w:val="24"/>
          <w:szCs w:val="24"/>
        </w:rPr>
        <w:t>17.2 本合同壹式伍份，以中文书写，买方执叁份、卖方执贰份。</w:t>
      </w:r>
    </w:p>
    <w:p>
      <w:pPr>
        <w:spacing w:line="360" w:lineRule="auto"/>
        <w:ind w:left="580" w:hanging="580"/>
        <w:rPr>
          <w:rFonts w:ascii="仿宋" w:hAnsi="仿宋" w:eastAsia="仿宋" w:cs="宋体"/>
          <w:b/>
          <w:sz w:val="28"/>
          <w:szCs w:val="28"/>
          <w:highlight w:val="yellow"/>
        </w:rPr>
      </w:pPr>
      <w:r>
        <w:rPr>
          <w:rFonts w:hint="eastAsia" w:ascii="宋体" w:hAnsi="宋体"/>
          <w:sz w:val="24"/>
          <w:szCs w:val="24"/>
        </w:rPr>
        <w:t>17.3 如需修改或补充合同内容，经协商，双方应签署书面修改或补充协议，该协议将作为本合同不可分割的一部分。</w:t>
      </w:r>
    </w:p>
    <w:p>
      <w:pPr>
        <w:spacing w:before="120" w:line="360" w:lineRule="auto"/>
        <w:ind w:left="960"/>
        <w:rPr>
          <w:sz w:val="24"/>
          <w:szCs w:val="24"/>
        </w:rPr>
      </w:pPr>
    </w:p>
    <w:p>
      <w:pPr>
        <w:spacing w:before="120" w:line="360" w:lineRule="auto"/>
        <w:ind w:left="960"/>
        <w:rPr>
          <w:sz w:val="24"/>
          <w:szCs w:val="24"/>
        </w:rPr>
      </w:pPr>
    </w:p>
    <w:p>
      <w:pPr>
        <w:spacing w:before="120" w:line="360" w:lineRule="auto"/>
        <w:ind w:left="960"/>
        <w:rPr>
          <w:sz w:val="24"/>
          <w:szCs w:val="24"/>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p>
    <w:p>
      <w:pPr>
        <w:pStyle w:val="2"/>
        <w:rPr>
          <w:rFonts w:hAnsi="宋体"/>
          <w:b/>
          <w:sz w:val="36"/>
        </w:rPr>
      </w:pPr>
    </w:p>
    <w:p>
      <w:pPr>
        <w:pStyle w:val="2"/>
        <w:rPr>
          <w:rFonts w:hAnsi="宋体"/>
          <w:b/>
          <w:sz w:val="36"/>
        </w:rPr>
      </w:pPr>
    </w:p>
    <w:p>
      <w:pPr>
        <w:spacing w:before="240" w:line="400" w:lineRule="atLeast"/>
        <w:jc w:val="center"/>
        <w:rPr>
          <w:rFonts w:ascii="宋体" w:hAnsi="宋体"/>
          <w:b/>
          <w:sz w:val="36"/>
        </w:rPr>
      </w:pPr>
    </w:p>
    <w:p>
      <w:pPr>
        <w:spacing w:before="240" w:line="400" w:lineRule="atLeast"/>
        <w:jc w:val="center"/>
        <w:rPr>
          <w:rFonts w:ascii="宋体" w:hAnsi="宋体"/>
          <w:b/>
          <w:sz w:val="36"/>
        </w:rPr>
      </w:pPr>
      <w:r>
        <w:rPr>
          <w:rFonts w:hint="eastAsia" w:ascii="宋体" w:hAnsi="宋体"/>
          <w:b/>
          <w:sz w:val="36"/>
        </w:rPr>
        <w:t>第四部分附件</w:t>
      </w:r>
    </w:p>
    <w:p>
      <w:pPr>
        <w:spacing w:line="360" w:lineRule="auto"/>
        <w:rPr>
          <w:rFonts w:ascii="宋体"/>
          <w:sz w:val="24"/>
        </w:rPr>
      </w:pPr>
    </w:p>
    <w:p>
      <w:pPr>
        <w:spacing w:line="400" w:lineRule="atLeast"/>
        <w:jc w:val="center"/>
        <w:outlineLvl w:val="9"/>
        <w:rPr>
          <w:rFonts w:ascii="宋体"/>
          <w:sz w:val="28"/>
        </w:rPr>
      </w:pPr>
      <w:r>
        <w:rPr>
          <w:rFonts w:ascii="宋体"/>
          <w:sz w:val="28"/>
        </w:rPr>
        <w:t xml:space="preserve"> (</w:t>
      </w:r>
      <w:r>
        <w:rPr>
          <w:rFonts w:hint="eastAsia" w:ascii="宋体"/>
          <w:sz w:val="28"/>
        </w:rPr>
        <w:t>文件格式</w:t>
      </w:r>
      <w:r>
        <w:rPr>
          <w:rFonts w:ascii="宋体"/>
          <w:sz w:val="28"/>
        </w:rPr>
        <w:t>)</w:t>
      </w:r>
    </w:p>
    <w:p>
      <w:pPr>
        <w:spacing w:line="400" w:lineRule="atLeast"/>
        <w:jc w:val="left"/>
        <w:rPr>
          <w:rFonts w:eastAsia="黑体"/>
          <w:sz w:val="30"/>
        </w:rPr>
      </w:pPr>
    </w:p>
    <w:p>
      <w:pPr>
        <w:spacing w:before="120"/>
        <w:jc w:val="center"/>
        <w:rPr>
          <w:rFonts w:eastAsia="黑体"/>
          <w:sz w:val="30"/>
        </w:rPr>
      </w:pPr>
    </w:p>
    <w:p>
      <w:pPr>
        <w:spacing w:before="120"/>
        <w:jc w:val="center"/>
        <w:rPr>
          <w:rFonts w:eastAsia="黑体"/>
          <w:sz w:val="30"/>
        </w:rPr>
      </w:pPr>
      <w:r>
        <w:rPr>
          <w:rFonts w:hint="eastAsia" w:eastAsia="黑体"/>
          <w:sz w:val="30"/>
        </w:rPr>
        <w:t xml:space="preserve">   目  录</w:t>
      </w:r>
    </w:p>
    <w:p>
      <w:pPr>
        <w:spacing w:line="600" w:lineRule="exact"/>
        <w:jc w:val="distribute"/>
        <w:rPr>
          <w:rFonts w:hint="eastAsia" w:ascii="宋体" w:eastAsia="宋体"/>
          <w:sz w:val="24"/>
          <w:vertAlign w:val="subscript"/>
          <w:lang w:val="en-US" w:eastAsia="zh-CN"/>
        </w:rPr>
      </w:pPr>
      <w:r>
        <w:rPr>
          <w:rFonts w:hint="eastAsia" w:ascii="宋体"/>
          <w:sz w:val="24"/>
        </w:rPr>
        <w:t xml:space="preserve"> 附件一    法定代表人授权书</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8</w:t>
      </w:r>
    </w:p>
    <w:p>
      <w:pPr>
        <w:spacing w:line="600" w:lineRule="exact"/>
        <w:jc w:val="distribute"/>
        <w:rPr>
          <w:rFonts w:hint="eastAsia" w:ascii="宋体" w:eastAsia="宋体"/>
          <w:sz w:val="24"/>
          <w:lang w:val="en-US" w:eastAsia="zh-CN"/>
        </w:rPr>
      </w:pPr>
      <w:r>
        <w:rPr>
          <w:rFonts w:hint="eastAsia" w:ascii="宋体"/>
          <w:sz w:val="24"/>
        </w:rPr>
        <w:t xml:space="preserve"> 附件二    中小企业声明函 </w:t>
      </w:r>
      <w:r>
        <w:rPr>
          <w:rFonts w:hint="eastAsia"/>
          <w:sz w:val="24"/>
        </w:rPr>
        <w:t>..</w:t>
      </w:r>
      <w:r>
        <w:rPr>
          <w:rFonts w:ascii="宋体"/>
          <w:sz w:val="24"/>
        </w:rPr>
        <w:t xml:space="preserve">……………………………………………… </w:t>
      </w:r>
      <w:r>
        <w:rPr>
          <w:rFonts w:hint="eastAsia" w:ascii="宋体"/>
          <w:sz w:val="24"/>
        </w:rPr>
        <w:t>2</w:t>
      </w:r>
      <w:r>
        <w:rPr>
          <w:rFonts w:hint="eastAsia" w:ascii="宋体"/>
          <w:sz w:val="24"/>
          <w:lang w:val="en-US" w:eastAsia="zh-CN"/>
        </w:rPr>
        <w:t>9</w:t>
      </w:r>
    </w:p>
    <w:p>
      <w:pPr>
        <w:spacing w:line="600" w:lineRule="exact"/>
        <w:jc w:val="distribute"/>
        <w:rPr>
          <w:rFonts w:hint="default" w:ascii="宋体" w:eastAsia="宋体"/>
          <w:sz w:val="24"/>
          <w:lang w:val="en-US" w:eastAsia="zh-CN"/>
        </w:rPr>
      </w:pPr>
      <w:r>
        <w:rPr>
          <w:rFonts w:hint="eastAsia" w:ascii="宋体"/>
          <w:sz w:val="24"/>
        </w:rPr>
        <w:t xml:space="preserve"> 附件三    报价函</w:t>
      </w:r>
      <w:r>
        <w:rPr>
          <w:rFonts w:ascii="宋体"/>
          <w:sz w:val="24"/>
        </w:rPr>
        <w:t>………………………………………………………………</w:t>
      </w:r>
      <w:r>
        <w:rPr>
          <w:rFonts w:hint="eastAsia" w:ascii="宋体"/>
          <w:sz w:val="24"/>
        </w:rPr>
        <w:t xml:space="preserve"> </w:t>
      </w:r>
      <w:r>
        <w:rPr>
          <w:rFonts w:hint="eastAsia" w:ascii="宋体"/>
          <w:sz w:val="24"/>
          <w:lang w:val="en-US" w:eastAsia="zh-CN"/>
        </w:rPr>
        <w:t>30</w:t>
      </w:r>
    </w:p>
    <w:p>
      <w:pPr>
        <w:spacing w:line="600" w:lineRule="exact"/>
        <w:jc w:val="distribute"/>
        <w:rPr>
          <w:rFonts w:hint="default" w:ascii="宋体" w:eastAsia="宋体"/>
          <w:sz w:val="24"/>
          <w:lang w:val="en-US" w:eastAsia="zh-CN"/>
        </w:rPr>
      </w:pPr>
      <w:r>
        <w:rPr>
          <w:rFonts w:hint="eastAsia" w:ascii="宋体"/>
          <w:sz w:val="24"/>
        </w:rPr>
        <w:t xml:space="preserve"> 附件四   报价一览表</w:t>
      </w:r>
      <w:r>
        <w:rPr>
          <w:rFonts w:ascii="宋体"/>
          <w:sz w:val="24"/>
        </w:rPr>
        <w:t>…………………………………………………</w:t>
      </w:r>
      <w:r>
        <w:rPr>
          <w:rFonts w:hint="eastAsia" w:ascii="宋体"/>
          <w:sz w:val="24"/>
        </w:rPr>
        <w:t xml:space="preserve">. </w:t>
      </w:r>
      <w:r>
        <w:rPr>
          <w:rFonts w:hint="eastAsia" w:ascii="宋体"/>
          <w:sz w:val="24"/>
          <w:lang w:val="en-US" w:eastAsia="zh-CN"/>
        </w:rPr>
        <w:t>31</w:t>
      </w:r>
    </w:p>
    <w:p>
      <w:pPr>
        <w:spacing w:line="600" w:lineRule="exact"/>
        <w:jc w:val="distribute"/>
        <w:rPr>
          <w:rFonts w:hint="eastAsia" w:ascii="宋体" w:eastAsia="宋体"/>
          <w:sz w:val="24"/>
          <w:lang w:val="en-US" w:eastAsia="zh-CN"/>
        </w:rPr>
      </w:pPr>
      <w:r>
        <w:rPr>
          <w:rFonts w:hint="eastAsia" w:ascii="宋体"/>
          <w:sz w:val="24"/>
        </w:rPr>
        <w:t xml:space="preserve"> 附件五    关于资格的声明函</w:t>
      </w:r>
      <w:r>
        <w:rPr>
          <w:rFonts w:ascii="宋体"/>
          <w:sz w:val="24"/>
        </w:rPr>
        <w:t>…………………………………………………</w:t>
      </w:r>
      <w:r>
        <w:rPr>
          <w:rFonts w:hint="eastAsia" w:ascii="宋体"/>
          <w:sz w:val="24"/>
        </w:rPr>
        <w:t xml:space="preserve"> 3</w:t>
      </w:r>
      <w:r>
        <w:rPr>
          <w:rFonts w:hint="eastAsia" w:ascii="宋体"/>
          <w:sz w:val="24"/>
          <w:lang w:val="en-US" w:eastAsia="zh-CN"/>
        </w:rPr>
        <w:t>3</w:t>
      </w:r>
    </w:p>
    <w:p>
      <w:pPr>
        <w:spacing w:line="600" w:lineRule="exact"/>
        <w:jc w:val="distribute"/>
        <w:rPr>
          <w:rFonts w:hint="eastAsia" w:ascii="宋体" w:eastAsia="宋体"/>
          <w:sz w:val="24"/>
          <w:lang w:val="en-US" w:eastAsia="zh-CN"/>
        </w:rPr>
      </w:pPr>
      <w:r>
        <w:rPr>
          <w:rFonts w:hint="eastAsia" w:ascii="宋体"/>
          <w:sz w:val="24"/>
        </w:rPr>
        <w:t xml:space="preserve"> 附件六    单位情况表</w:t>
      </w:r>
      <w:r>
        <w:rPr>
          <w:rFonts w:ascii="宋体"/>
          <w:sz w:val="24"/>
        </w:rPr>
        <w:t>…</w:t>
      </w:r>
      <w:r>
        <w:rPr>
          <w:rFonts w:hint="eastAsia"/>
          <w:sz w:val="24"/>
        </w:rPr>
        <w:t>.</w:t>
      </w:r>
      <w:r>
        <w:rPr>
          <w:rFonts w:ascii="宋体"/>
          <w:sz w:val="24"/>
        </w:rPr>
        <w:t>……………………………………………………………</w:t>
      </w:r>
      <w:r>
        <w:rPr>
          <w:rFonts w:hint="eastAsia" w:ascii="宋体"/>
          <w:sz w:val="24"/>
        </w:rPr>
        <w:t>3</w:t>
      </w:r>
      <w:r>
        <w:rPr>
          <w:rFonts w:hint="eastAsia" w:ascii="宋体"/>
          <w:sz w:val="24"/>
          <w:lang w:val="en-US" w:eastAsia="zh-CN"/>
        </w:rPr>
        <w:t>4</w:t>
      </w:r>
    </w:p>
    <w:p>
      <w:pPr>
        <w:pStyle w:val="38"/>
        <w:ind w:firstLine="480"/>
        <w:rPr>
          <w:rFonts w:hint="default"/>
          <w:sz w:val="24"/>
        </w:rPr>
      </w:pPr>
    </w:p>
    <w:p>
      <w:pPr>
        <w:jc w:val="distribute"/>
        <w:rPr>
          <w:rFonts w:hint="eastAsia" w:ascii="宋体" w:eastAsia="宋体"/>
          <w:sz w:val="24"/>
          <w:lang w:val="en-US" w:eastAsia="zh-CN"/>
        </w:rPr>
      </w:pPr>
      <w:r>
        <w:rPr>
          <w:rFonts w:hint="eastAsia" w:ascii="宋体"/>
          <w:sz w:val="24"/>
        </w:rPr>
        <w:t xml:space="preserve"> 附件七      项目服务情况人员表</w:t>
      </w:r>
      <w:r>
        <w:rPr>
          <w:rFonts w:hint="eastAsia"/>
          <w:sz w:val="24"/>
        </w:rPr>
        <w:t>.</w:t>
      </w:r>
      <w:r>
        <w:rPr>
          <w:rFonts w:ascii="宋体"/>
          <w:sz w:val="24"/>
        </w:rPr>
        <w:t>………………………………………………………</w:t>
      </w:r>
      <w:r>
        <w:rPr>
          <w:rFonts w:hint="eastAsia" w:ascii="宋体"/>
          <w:sz w:val="24"/>
        </w:rPr>
        <w:t xml:space="preserve">  3</w:t>
      </w:r>
      <w:r>
        <w:rPr>
          <w:rFonts w:hint="eastAsia" w:ascii="宋体"/>
          <w:sz w:val="24"/>
          <w:lang w:val="en-US" w:eastAsia="zh-CN"/>
        </w:rPr>
        <w:t>5</w:t>
      </w:r>
    </w:p>
    <w:p>
      <w:pPr>
        <w:pStyle w:val="38"/>
        <w:ind w:firstLine="480"/>
        <w:rPr>
          <w:rFonts w:hint="default"/>
          <w:sz w:val="24"/>
        </w:rPr>
      </w:pPr>
    </w:p>
    <w:p>
      <w:pPr>
        <w:rPr>
          <w:rFonts w:hint="eastAsia" w:ascii="宋体" w:eastAsia="宋体"/>
          <w:sz w:val="24"/>
          <w:lang w:val="en-US" w:eastAsia="zh-CN"/>
        </w:rPr>
      </w:pPr>
      <w:r>
        <w:rPr>
          <w:rFonts w:hint="eastAsia" w:ascii="宋体"/>
          <w:sz w:val="24"/>
        </w:rPr>
        <w:t xml:space="preserve"> 附件八      合同条款承诺函</w:t>
      </w:r>
      <w:r>
        <w:rPr>
          <w:rFonts w:ascii="宋体"/>
          <w:sz w:val="24"/>
        </w:rPr>
        <w:t>………………………………………………………………</w:t>
      </w:r>
      <w:r>
        <w:rPr>
          <w:rFonts w:hint="eastAsia" w:ascii="宋体"/>
          <w:sz w:val="24"/>
        </w:rPr>
        <w:t>3</w:t>
      </w:r>
      <w:r>
        <w:rPr>
          <w:rFonts w:hint="eastAsia" w:ascii="宋体"/>
          <w:sz w:val="24"/>
          <w:lang w:val="en-US" w:eastAsia="zh-CN"/>
        </w:rPr>
        <w:t>6</w:t>
      </w:r>
    </w:p>
    <w:p>
      <w:pPr>
        <w:pStyle w:val="38"/>
        <w:ind w:firstLine="480"/>
        <w:rPr>
          <w:rFonts w:hint="default"/>
          <w:sz w:val="24"/>
        </w:rPr>
      </w:pPr>
    </w:p>
    <w:p>
      <w:pPr>
        <w:rPr>
          <w:rFonts w:hint="eastAsia" w:ascii="宋体" w:eastAsia="宋体"/>
          <w:sz w:val="24"/>
          <w:lang w:val="en-US" w:eastAsia="zh-CN"/>
        </w:rPr>
      </w:pPr>
      <w:r>
        <w:rPr>
          <w:rFonts w:hint="eastAsia" w:ascii="宋体"/>
          <w:sz w:val="24"/>
        </w:rPr>
        <w:t xml:space="preserve"> 附件九       服务条款应答表</w:t>
      </w:r>
      <w:r>
        <w:rPr>
          <w:rFonts w:ascii="宋体"/>
          <w:sz w:val="24"/>
        </w:rPr>
        <w:t>……………………………………………………………</w:t>
      </w:r>
      <w:r>
        <w:rPr>
          <w:rFonts w:hint="eastAsia" w:ascii="宋体"/>
          <w:sz w:val="24"/>
        </w:rPr>
        <w:t xml:space="preserve"> 3</w:t>
      </w:r>
      <w:r>
        <w:rPr>
          <w:rFonts w:hint="eastAsia" w:ascii="宋体"/>
          <w:sz w:val="24"/>
          <w:lang w:val="en-US" w:eastAsia="zh-CN"/>
        </w:rPr>
        <w:t>7</w:t>
      </w:r>
    </w:p>
    <w:p>
      <w:pPr>
        <w:pStyle w:val="38"/>
        <w:ind w:firstLine="480"/>
        <w:rPr>
          <w:rFonts w:hint="default"/>
          <w:sz w:val="24"/>
        </w:rPr>
      </w:pPr>
    </w:p>
    <w:p>
      <w:pPr>
        <w:spacing w:line="240" w:lineRule="atLeast"/>
        <w:jc w:val="distribute"/>
        <w:rPr>
          <w:rFonts w:hint="eastAsia" w:ascii="宋体" w:eastAsia="宋体"/>
          <w:sz w:val="24"/>
          <w:lang w:val="en-US" w:eastAsia="zh-CN"/>
        </w:rPr>
      </w:pPr>
      <w:r>
        <w:rPr>
          <w:rFonts w:hint="eastAsia" w:ascii="宋体"/>
          <w:sz w:val="24"/>
        </w:rPr>
        <w:t xml:space="preserve"> 附件十     </w:t>
      </w:r>
      <w:r>
        <w:rPr>
          <w:rFonts w:hint="eastAsia" w:ascii="宋体" w:hAnsi="宋体"/>
          <w:bCs/>
          <w:sz w:val="24"/>
          <w:szCs w:val="24"/>
        </w:rPr>
        <w:t>残疾人福利性单位声明函</w:t>
      </w:r>
      <w:r>
        <w:rPr>
          <w:rFonts w:ascii="宋体"/>
          <w:sz w:val="24"/>
        </w:rPr>
        <w:t>……………………………………………</w:t>
      </w:r>
      <w:r>
        <w:rPr>
          <w:rFonts w:hint="eastAsia" w:ascii="宋体"/>
          <w:sz w:val="24"/>
        </w:rPr>
        <w:t>4</w:t>
      </w:r>
      <w:r>
        <w:rPr>
          <w:rFonts w:hint="eastAsia" w:ascii="宋体"/>
          <w:sz w:val="24"/>
          <w:lang w:val="en-US" w:eastAsia="zh-CN"/>
        </w:rPr>
        <w:t>0</w:t>
      </w:r>
    </w:p>
    <w:p>
      <w:pPr>
        <w:pStyle w:val="38"/>
        <w:ind w:firstLine="480"/>
        <w:rPr>
          <w:rFonts w:hint="default"/>
          <w:sz w:val="24"/>
        </w:rPr>
      </w:pPr>
    </w:p>
    <w:p>
      <w:pPr>
        <w:rPr>
          <w:rFonts w:hint="eastAsia" w:ascii="宋体" w:eastAsia="宋体"/>
          <w:sz w:val="24"/>
          <w:lang w:val="en-US" w:eastAsia="zh-CN"/>
        </w:rPr>
      </w:pPr>
      <w:r>
        <w:rPr>
          <w:rFonts w:hint="eastAsia" w:ascii="宋体"/>
          <w:sz w:val="24"/>
        </w:rPr>
        <w:t xml:space="preserve"> 附件十一     监狱企业声明函</w:t>
      </w:r>
      <w:r>
        <w:rPr>
          <w:rFonts w:ascii="宋体"/>
          <w:sz w:val="24"/>
        </w:rPr>
        <w:t>……………………………………………………………</w:t>
      </w:r>
      <w:r>
        <w:rPr>
          <w:rFonts w:hint="eastAsia" w:ascii="宋体"/>
          <w:sz w:val="24"/>
        </w:rPr>
        <w:t>4</w:t>
      </w:r>
      <w:r>
        <w:rPr>
          <w:rFonts w:hint="eastAsia" w:ascii="宋体"/>
          <w:sz w:val="24"/>
          <w:lang w:val="en-US" w:eastAsia="zh-CN"/>
        </w:rPr>
        <w:t>1</w:t>
      </w:r>
    </w:p>
    <w:p>
      <w:pPr>
        <w:pStyle w:val="38"/>
        <w:ind w:firstLine="480"/>
        <w:rPr>
          <w:rFonts w:hint="default"/>
          <w:sz w:val="24"/>
        </w:rPr>
      </w:pPr>
    </w:p>
    <w:p>
      <w:pPr>
        <w:rPr>
          <w:rFonts w:hint="eastAsia" w:eastAsia="宋体"/>
          <w:lang w:val="en-US" w:eastAsia="zh-CN"/>
        </w:rPr>
      </w:pPr>
      <w:r>
        <w:rPr>
          <w:rFonts w:hint="eastAsia" w:ascii="宋体"/>
          <w:sz w:val="24"/>
        </w:rPr>
        <w:t xml:space="preserve"> 附件十二     中小企业划型标准</w:t>
      </w:r>
      <w:r>
        <w:rPr>
          <w:rFonts w:ascii="宋体"/>
          <w:sz w:val="24"/>
        </w:rPr>
        <w:t>………………………………………………</w:t>
      </w:r>
      <w:r>
        <w:rPr>
          <w:rFonts w:hint="eastAsia" w:ascii="宋体"/>
          <w:sz w:val="24"/>
          <w:lang w:val="en-US" w:eastAsia="zh-CN"/>
        </w:rPr>
        <w:t>..</w:t>
      </w:r>
      <w:r>
        <w:rPr>
          <w:rFonts w:ascii="宋体"/>
          <w:sz w:val="24"/>
        </w:rPr>
        <w:t>………</w:t>
      </w:r>
      <w:r>
        <w:rPr>
          <w:rFonts w:hint="eastAsia" w:ascii="宋体"/>
          <w:sz w:val="24"/>
        </w:rPr>
        <w:t>4</w:t>
      </w:r>
      <w:r>
        <w:rPr>
          <w:rFonts w:hint="eastAsia" w:ascii="宋体"/>
          <w:sz w:val="24"/>
          <w:lang w:val="en-US" w:eastAsia="zh-CN"/>
        </w:rPr>
        <w:t>2</w:t>
      </w:r>
    </w:p>
    <w:p/>
    <w:p>
      <w:pPr>
        <w:pStyle w:val="38"/>
        <w:ind w:firstLine="0" w:firstLineChars="0"/>
        <w:rPr>
          <w:rFonts w:hint="default"/>
        </w:rPr>
      </w:pPr>
    </w:p>
    <w:p/>
    <w:p>
      <w:pPr>
        <w:spacing w:line="600" w:lineRule="exact"/>
        <w:jc w:val="distribute"/>
        <w:rPr>
          <w:rFonts w:ascii="宋体"/>
          <w:sz w:val="24"/>
        </w:rPr>
      </w:pPr>
    </w:p>
    <w:p>
      <w:pPr>
        <w:pStyle w:val="6"/>
      </w:pPr>
    </w:p>
    <w:p>
      <w:pPr>
        <w:pStyle w:val="6"/>
      </w:pPr>
    </w:p>
    <w:p>
      <w:pPr>
        <w:pStyle w:val="6"/>
      </w:pPr>
    </w:p>
    <w:p>
      <w:pPr>
        <w:pStyle w:val="6"/>
      </w:pPr>
    </w:p>
    <w:p>
      <w:pPr>
        <w:pStyle w:val="6"/>
      </w:pPr>
    </w:p>
    <w:p>
      <w:pPr>
        <w:pStyle w:val="6"/>
      </w:pPr>
    </w:p>
    <w:p>
      <w:pPr>
        <w:spacing w:line="420" w:lineRule="exact"/>
        <w:jc w:val="left"/>
        <w:rPr>
          <w:rFonts w:ascii="宋体" w:hAnsi="宋体" w:cs="宋体"/>
          <w:sz w:val="24"/>
          <w:szCs w:val="24"/>
        </w:rPr>
      </w:pPr>
      <w:r>
        <w:rPr>
          <w:rFonts w:hint="eastAsia" w:ascii="宋体" w:hAnsi="宋体" w:cs="宋体"/>
          <w:sz w:val="24"/>
          <w:szCs w:val="24"/>
        </w:rPr>
        <w:t>附件一</w:t>
      </w:r>
    </w:p>
    <w:p>
      <w:pPr>
        <w:spacing w:line="360" w:lineRule="atLeast"/>
        <w:ind w:left="421" w:leftChars="200" w:hanging="1"/>
        <w:jc w:val="center"/>
        <w:outlineLvl w:val="1"/>
        <w:rPr>
          <w:sz w:val="24"/>
        </w:rPr>
      </w:pPr>
      <w:r>
        <w:rPr>
          <w:rFonts w:hint="eastAsia" w:ascii="宋体"/>
          <w:b/>
          <w:sz w:val="28"/>
        </w:rPr>
        <w:t>法定代表人授权书</w:t>
      </w:r>
    </w:p>
    <w:p>
      <w:pPr>
        <w:spacing w:line="360" w:lineRule="auto"/>
        <w:ind w:left="421" w:leftChars="200" w:hanging="1"/>
        <w:rPr>
          <w:sz w:val="24"/>
          <w:u w:val="single"/>
        </w:rPr>
      </w:pPr>
    </w:p>
    <w:p>
      <w:pPr>
        <w:spacing w:line="360" w:lineRule="auto"/>
        <w:ind w:left="421" w:leftChars="200" w:hanging="1"/>
        <w:rPr>
          <w:sz w:val="24"/>
          <w:u w:val="single"/>
        </w:rPr>
      </w:pPr>
    </w:p>
    <w:p>
      <w:pPr>
        <w:spacing w:line="480" w:lineRule="auto"/>
        <w:ind w:left="420" w:leftChars="200" w:firstLine="523"/>
        <w:rPr>
          <w:sz w:val="24"/>
        </w:rPr>
      </w:pPr>
      <w:r>
        <w:rPr>
          <w:rFonts w:hint="eastAsia"/>
          <w:sz w:val="24"/>
        </w:rPr>
        <w:t>本授权书声明：注册于</w:t>
      </w:r>
      <w:r>
        <w:rPr>
          <w:rFonts w:hint="eastAsia"/>
          <w:i/>
          <w:sz w:val="24"/>
          <w:u w:val="single"/>
        </w:rPr>
        <w:t>（国家或地区的名称）</w:t>
      </w:r>
      <w:r>
        <w:rPr>
          <w:rFonts w:hint="eastAsia"/>
          <w:sz w:val="24"/>
        </w:rPr>
        <w:t>的</w:t>
      </w:r>
      <w:r>
        <w:rPr>
          <w:rFonts w:hint="eastAsia"/>
          <w:i/>
          <w:sz w:val="24"/>
          <w:u w:val="single"/>
        </w:rPr>
        <w:t>（公司名称）</w:t>
      </w:r>
      <w:r>
        <w:rPr>
          <w:rFonts w:hint="eastAsia"/>
          <w:sz w:val="24"/>
        </w:rPr>
        <w:t>的在下面签字的</w:t>
      </w:r>
      <w:r>
        <w:rPr>
          <w:rFonts w:hint="eastAsia"/>
          <w:i/>
          <w:sz w:val="24"/>
          <w:u w:val="single"/>
        </w:rPr>
        <w:t>（法定代表人姓名、职务）</w:t>
      </w:r>
      <w:r>
        <w:rPr>
          <w:rFonts w:hint="eastAsia"/>
          <w:sz w:val="24"/>
        </w:rPr>
        <w:t>代表本公司授权</w:t>
      </w:r>
      <w:r>
        <w:rPr>
          <w:rFonts w:hint="eastAsia"/>
          <w:i/>
          <w:sz w:val="24"/>
          <w:u w:val="single"/>
        </w:rPr>
        <w:t>（单位名称）</w:t>
      </w:r>
      <w:r>
        <w:rPr>
          <w:rFonts w:hint="eastAsia"/>
          <w:sz w:val="24"/>
        </w:rPr>
        <w:t>的在下面签字的</w:t>
      </w:r>
      <w:r>
        <w:rPr>
          <w:rFonts w:hint="eastAsia"/>
          <w:i/>
          <w:sz w:val="24"/>
          <w:u w:val="single"/>
        </w:rPr>
        <w:t>（被授权人的姓名、职务）</w:t>
      </w:r>
      <w:r>
        <w:rPr>
          <w:rFonts w:hint="eastAsia"/>
          <w:sz w:val="24"/>
        </w:rPr>
        <w:t>为本公司的合法代理人，就</w:t>
      </w:r>
      <w:r>
        <w:rPr>
          <w:rFonts w:hint="eastAsia"/>
          <w:i/>
          <w:sz w:val="24"/>
          <w:u w:val="single"/>
        </w:rPr>
        <w:t>（项目名称）</w:t>
      </w:r>
      <w:r>
        <w:rPr>
          <w:rFonts w:hint="eastAsia"/>
          <w:sz w:val="24"/>
        </w:rPr>
        <w:t>的采购论证，以本公司名义处理一切与之有关的事宜。</w:t>
      </w:r>
    </w:p>
    <w:p>
      <w:pPr>
        <w:spacing w:line="480" w:lineRule="auto"/>
        <w:ind w:left="421" w:leftChars="200" w:hanging="1"/>
        <w:rPr>
          <w:sz w:val="24"/>
        </w:rPr>
      </w:pPr>
      <w:r>
        <w:rPr>
          <w:rFonts w:hint="eastAsia"/>
          <w:sz w:val="24"/>
        </w:rPr>
        <w:t>本授权书于年月日签字生效，特此声明。</w:t>
      </w:r>
    </w:p>
    <w:p>
      <w:pPr>
        <w:spacing w:line="360" w:lineRule="auto"/>
        <w:ind w:left="421" w:leftChars="200" w:hanging="1"/>
        <w:rPr>
          <w:sz w:val="24"/>
        </w:rPr>
      </w:pPr>
    </w:p>
    <w:p>
      <w:pPr>
        <w:spacing w:line="360" w:lineRule="auto"/>
        <w:ind w:left="421" w:leftChars="200" w:hanging="1"/>
        <w:rPr>
          <w:sz w:val="24"/>
        </w:rPr>
      </w:pPr>
      <w:r>
        <w:rPr>
          <w:rFonts w:hint="eastAsia"/>
          <w:sz w:val="24"/>
        </w:rPr>
        <w:t>法定代表人签字或签（印）章：</w:t>
      </w:r>
    </w:p>
    <w:p>
      <w:pPr>
        <w:spacing w:line="360" w:lineRule="auto"/>
        <w:ind w:left="421" w:leftChars="200" w:hanging="1"/>
        <w:rPr>
          <w:sz w:val="24"/>
        </w:rPr>
      </w:pPr>
    </w:p>
    <w:p>
      <w:pPr>
        <w:spacing w:line="360" w:lineRule="auto"/>
        <w:ind w:left="421" w:leftChars="200" w:hanging="1"/>
        <w:rPr>
          <w:sz w:val="24"/>
        </w:rPr>
      </w:pPr>
      <w:r>
        <w:rPr>
          <w:rFonts w:hint="eastAsia"/>
          <w:sz w:val="24"/>
        </w:rPr>
        <w:t>授权代表签字：</w:t>
      </w:r>
    </w:p>
    <w:p>
      <w:pPr>
        <w:spacing w:line="360" w:lineRule="auto"/>
        <w:ind w:left="420" w:leftChars="200"/>
        <w:rPr>
          <w:sz w:val="24"/>
        </w:rPr>
      </w:pPr>
    </w:p>
    <w:p>
      <w:pPr>
        <w:spacing w:line="360" w:lineRule="auto"/>
        <w:ind w:left="420" w:leftChars="200"/>
        <w:rPr>
          <w:sz w:val="24"/>
        </w:rPr>
      </w:pPr>
      <w:r>
        <w:rPr>
          <w:rFonts w:hint="eastAsia"/>
          <w:sz w:val="24"/>
        </w:rPr>
        <w:t>响应人全称（公章）：</w:t>
      </w:r>
    </w:p>
    <w:p>
      <w:pPr>
        <w:spacing w:line="360" w:lineRule="auto"/>
        <w:ind w:left="420" w:leftChars="200"/>
        <w:rPr>
          <w:sz w:val="24"/>
        </w:rPr>
      </w:pPr>
    </w:p>
    <w:p>
      <w:pPr>
        <w:spacing w:line="360" w:lineRule="auto"/>
        <w:ind w:left="420" w:leftChars="200"/>
        <w:rPr>
          <w:sz w:val="24"/>
        </w:rPr>
      </w:pPr>
      <w:r>
        <w:rPr>
          <w:rFonts w:hint="eastAsia"/>
          <w:sz w:val="24"/>
        </w:rPr>
        <w:t>日　期：</w:t>
      </w:r>
    </w:p>
    <w:p>
      <w:pPr>
        <w:spacing w:line="360" w:lineRule="auto"/>
        <w:ind w:left="421" w:leftChars="200" w:hanging="1"/>
        <w:rPr>
          <w:sz w:val="24"/>
        </w:rPr>
      </w:pPr>
    </w:p>
    <w:p>
      <w:pPr>
        <w:spacing w:line="360" w:lineRule="auto"/>
        <w:ind w:left="421" w:leftChars="200" w:hanging="1"/>
        <w:rPr>
          <w:sz w:val="24"/>
        </w:rPr>
      </w:pPr>
    </w:p>
    <w:p>
      <w:pPr>
        <w:spacing w:line="360" w:lineRule="auto"/>
        <w:ind w:left="421" w:leftChars="200" w:hanging="1"/>
        <w:rPr>
          <w:sz w:val="24"/>
        </w:rPr>
      </w:pPr>
    </w:p>
    <w:p>
      <w:pPr>
        <w:spacing w:line="360" w:lineRule="auto"/>
        <w:ind w:left="421" w:leftChars="200" w:hanging="1"/>
        <w:rPr>
          <w:sz w:val="24"/>
        </w:rPr>
      </w:pPr>
    </w:p>
    <w:p>
      <w:pPr>
        <w:spacing w:line="360" w:lineRule="auto"/>
        <w:ind w:left="421" w:leftChars="200" w:hanging="1"/>
        <w:rPr>
          <w:sz w:val="24"/>
        </w:rPr>
      </w:pPr>
    </w:p>
    <w:p>
      <w:pPr>
        <w:spacing w:line="360" w:lineRule="auto"/>
        <w:ind w:left="421" w:leftChars="200" w:hanging="1"/>
        <w:rPr>
          <w:sz w:val="24"/>
        </w:rPr>
      </w:pPr>
    </w:p>
    <w:p>
      <w:pPr>
        <w:spacing w:line="360" w:lineRule="auto"/>
        <w:rPr>
          <w:sz w:val="24"/>
        </w:rPr>
      </w:pPr>
    </w:p>
    <w:p>
      <w:pPr>
        <w:spacing w:line="360" w:lineRule="auto"/>
        <w:ind w:left="421" w:leftChars="200" w:hanging="1"/>
        <w:rPr>
          <w:sz w:val="24"/>
          <w:highlight w:val="yellow"/>
        </w:rPr>
      </w:pPr>
    </w:p>
    <w:p>
      <w:pPr>
        <w:spacing w:line="360" w:lineRule="auto"/>
        <w:ind w:left="421" w:leftChars="200" w:hanging="1"/>
        <w:rPr>
          <w:sz w:val="24"/>
          <w:highlight w:val="yellow"/>
        </w:rPr>
      </w:pPr>
      <w:r>
        <w:rPr>
          <w:rFonts w:hint="eastAsia" w:ascii="宋体" w:hAnsi="宋体"/>
          <w:sz w:val="24"/>
          <w:highlight w:val="yellow"/>
        </w:rPr>
        <w:t>附：法人及被授权人身份证复印件</w:t>
      </w:r>
    </w:p>
    <w:p>
      <w:pPr>
        <w:spacing w:line="420" w:lineRule="exact"/>
        <w:ind w:firstLine="2700" w:firstLineChars="900"/>
        <w:jc w:val="left"/>
        <w:rPr>
          <w:rFonts w:eastAsia="黑体"/>
          <w:sz w:val="30"/>
        </w:rPr>
      </w:pPr>
    </w:p>
    <w:p>
      <w:pPr>
        <w:spacing w:line="420" w:lineRule="exact"/>
        <w:jc w:val="left"/>
        <w:rPr>
          <w:rFonts w:eastAsia="黑体"/>
          <w:sz w:val="30"/>
        </w:rPr>
      </w:pPr>
    </w:p>
    <w:p>
      <w:pPr>
        <w:spacing w:before="240" w:line="400" w:lineRule="atLeast"/>
        <w:rPr>
          <w:rFonts w:eastAsia="黑体"/>
          <w:sz w:val="30"/>
        </w:rPr>
      </w:pPr>
      <w:r>
        <w:rPr>
          <w:rFonts w:hint="eastAsia" w:ascii="宋体" w:hAnsi="宋体" w:cs="宋体"/>
          <w:sz w:val="24"/>
          <w:szCs w:val="24"/>
        </w:rPr>
        <w:t>附件二</w:t>
      </w:r>
    </w:p>
    <w:p>
      <w:pPr>
        <w:spacing w:before="240" w:line="400" w:lineRule="atLeast"/>
        <w:jc w:val="center"/>
        <w:rPr>
          <w:rFonts w:ascii="宋体"/>
          <w:b/>
          <w:sz w:val="24"/>
          <w:szCs w:val="24"/>
        </w:rPr>
      </w:pPr>
      <w:r>
        <w:rPr>
          <w:rFonts w:hint="eastAsia" w:ascii="宋体"/>
          <w:b/>
          <w:sz w:val="24"/>
          <w:szCs w:val="24"/>
        </w:rPr>
        <w:t>中小企业声明函</w:t>
      </w:r>
    </w:p>
    <w:p>
      <w:pPr>
        <w:spacing w:line="240" w:lineRule="atLeast"/>
        <w:ind w:left="1080" w:leftChars="257" w:hanging="540"/>
        <w:jc w:val="center"/>
        <w:rPr>
          <w:rFonts w:ascii="仿宋_GB2312" w:hAnsi="Arial" w:eastAsia="仿宋_GB2312"/>
          <w:b/>
          <w:sz w:val="24"/>
        </w:rPr>
      </w:pPr>
    </w:p>
    <w:p>
      <w:pPr>
        <w:spacing w:line="480" w:lineRule="exact"/>
        <w:jc w:val="center"/>
        <w:rPr>
          <w:rFonts w:cs="宋体"/>
          <w:b/>
          <w:bCs/>
          <w:sz w:val="24"/>
          <w:szCs w:val="24"/>
        </w:rPr>
      </w:pPr>
    </w:p>
    <w:p>
      <w:pPr>
        <w:tabs>
          <w:tab w:val="left" w:pos="7230"/>
          <w:tab w:val="left" w:pos="7513"/>
        </w:tabs>
        <w:spacing w:line="480" w:lineRule="exact"/>
        <w:ind w:firstLine="480" w:firstLineChars="200"/>
        <w:rPr>
          <w:rFonts w:cs="宋体"/>
          <w:sz w:val="24"/>
          <w:szCs w:val="24"/>
        </w:rPr>
      </w:pPr>
      <w:r>
        <w:rPr>
          <w:rFonts w:hint="eastAsia" w:cs="宋体"/>
          <w:sz w:val="24"/>
          <w:szCs w:val="24"/>
        </w:rPr>
        <w:t>本公司（联合体）郑重声明，根据《政府采购促进中小企业发展管理办法》（财库﹝</w:t>
      </w:r>
      <w:r>
        <w:rPr>
          <w:rFonts w:cs="宋体"/>
          <w:sz w:val="24"/>
          <w:szCs w:val="24"/>
        </w:rPr>
        <w:t>2020</w:t>
      </w:r>
      <w:r>
        <w:rPr>
          <w:rFonts w:hint="eastAsia" w:cs="宋体"/>
          <w:sz w:val="24"/>
          <w:szCs w:val="24"/>
        </w:rPr>
        <w:t>﹞</w:t>
      </w:r>
      <w:r>
        <w:rPr>
          <w:rFonts w:cs="宋体"/>
          <w:sz w:val="24"/>
          <w:szCs w:val="24"/>
        </w:rPr>
        <w:t xml:space="preserve">46 </w:t>
      </w:r>
      <w:r>
        <w:rPr>
          <w:rFonts w:hint="eastAsia" w:cs="宋体"/>
          <w:sz w:val="24"/>
          <w:szCs w:val="24"/>
        </w:rPr>
        <w:t>号）的规定，本公司（联合体）参加</w:t>
      </w:r>
      <w:r>
        <w:rPr>
          <w:rFonts w:hint="eastAsia" w:cs="宋体"/>
          <w:sz w:val="24"/>
          <w:szCs w:val="24"/>
          <w:u w:val="single"/>
        </w:rPr>
        <w:t>（单位名称）</w:t>
      </w:r>
      <w:r>
        <w:rPr>
          <w:rFonts w:hint="eastAsia" w:cs="宋体"/>
          <w:sz w:val="24"/>
          <w:szCs w:val="24"/>
        </w:rPr>
        <w:t>的</w:t>
      </w:r>
      <w:r>
        <w:rPr>
          <w:rFonts w:hint="eastAsia" w:cs="宋体"/>
          <w:sz w:val="24"/>
          <w:szCs w:val="24"/>
          <w:u w:val="single"/>
        </w:rPr>
        <w:t>（项目名称）</w:t>
      </w:r>
      <w:r>
        <w:rPr>
          <w:rFonts w:hint="eastAsia" w:cs="宋体"/>
          <w:sz w:val="24"/>
          <w:szCs w:val="24"/>
        </w:rPr>
        <w:t>采购活动，提供的货物或服务全部为符合政策要求的中小企业（或者：服务全部由符合政策要求的中小企业承接）。相关企业（含联合体中的中小企业、签订分包意向协议的中小企业）的具体情况如下：</w:t>
      </w:r>
    </w:p>
    <w:p>
      <w:pPr>
        <w:tabs>
          <w:tab w:val="left" w:pos="7513"/>
        </w:tabs>
        <w:spacing w:line="480" w:lineRule="exact"/>
        <w:rPr>
          <w:rFonts w:cs="宋体"/>
          <w:sz w:val="24"/>
          <w:szCs w:val="24"/>
        </w:rPr>
      </w:pPr>
      <w:r>
        <w:rPr>
          <w:rFonts w:cs="宋体"/>
          <w:sz w:val="24"/>
          <w:szCs w:val="24"/>
        </w:rPr>
        <w:t xml:space="preserve">1. </w:t>
      </w:r>
      <w:r>
        <w:rPr>
          <w:rFonts w:hint="eastAsia" w:cs="宋体"/>
          <w:sz w:val="24"/>
          <w:szCs w:val="24"/>
          <w:u w:val="single"/>
        </w:rPr>
        <w:t>（标的名称）</w:t>
      </w:r>
      <w:r>
        <w:rPr>
          <w:rFonts w:hint="eastAsia" w:cs="宋体"/>
          <w:sz w:val="24"/>
          <w:szCs w:val="24"/>
        </w:rPr>
        <w:t>，属于</w:t>
      </w:r>
      <w:r>
        <w:rPr>
          <w:rFonts w:hint="eastAsia" w:cs="宋体"/>
          <w:sz w:val="24"/>
          <w:szCs w:val="24"/>
          <w:u w:val="single"/>
        </w:rPr>
        <w:t>（xx行业）</w:t>
      </w:r>
      <w:r>
        <w:rPr>
          <w:rFonts w:hint="eastAsia" w:cs="宋体"/>
          <w:sz w:val="24"/>
          <w:szCs w:val="24"/>
        </w:rPr>
        <w:t>；承建（承接）企业为</w:t>
      </w:r>
      <w:r>
        <w:rPr>
          <w:rFonts w:hint="eastAsia" w:cs="宋体"/>
          <w:sz w:val="24"/>
          <w:szCs w:val="24"/>
          <w:u w:val="single"/>
        </w:rPr>
        <w:t>（企业名称）</w:t>
      </w:r>
      <w:r>
        <w:rPr>
          <w:rFonts w:hint="eastAsia" w:cs="宋体"/>
          <w:sz w:val="24"/>
          <w:szCs w:val="24"/>
        </w:rPr>
        <w:t>，从业人员人，营业收入为万元，资产总额为万元</w:t>
      </w:r>
      <w:r>
        <w:rPr>
          <w:rFonts w:cs="宋体"/>
          <w:sz w:val="24"/>
          <w:szCs w:val="24"/>
          <w:vertAlign w:val="superscript"/>
        </w:rPr>
        <w:t>1</w:t>
      </w:r>
      <w:r>
        <w:rPr>
          <w:rFonts w:hint="eastAsia" w:cs="宋体"/>
          <w:sz w:val="24"/>
          <w:szCs w:val="24"/>
        </w:rPr>
        <w:t>，属于</w:t>
      </w:r>
      <w:r>
        <w:rPr>
          <w:rFonts w:hint="eastAsia" w:cs="宋体"/>
          <w:sz w:val="24"/>
          <w:szCs w:val="24"/>
          <w:u w:val="single"/>
        </w:rPr>
        <w:t>（中型企业、小型企业、微型企业）</w:t>
      </w:r>
      <w:r>
        <w:rPr>
          <w:rFonts w:hint="eastAsia" w:cs="宋体"/>
          <w:sz w:val="24"/>
          <w:szCs w:val="24"/>
        </w:rPr>
        <w:t>；</w:t>
      </w:r>
    </w:p>
    <w:p>
      <w:pPr>
        <w:tabs>
          <w:tab w:val="left" w:pos="7513"/>
        </w:tabs>
        <w:spacing w:line="480" w:lineRule="exact"/>
        <w:ind w:firstLine="480" w:firstLineChars="200"/>
        <w:rPr>
          <w:rFonts w:cs="宋体"/>
          <w:sz w:val="24"/>
          <w:szCs w:val="24"/>
        </w:rPr>
      </w:pPr>
      <w:r>
        <w:rPr>
          <w:rFonts w:hint="eastAsia" w:cs="宋体"/>
          <w:sz w:val="24"/>
          <w:szCs w:val="24"/>
        </w:rPr>
        <w:t>以上企业，不属于大企业的分支机构，不存在控股股东为大企业的情形，也不存在与大企业的负责人为同一人的情形。</w:t>
      </w:r>
    </w:p>
    <w:p>
      <w:pPr>
        <w:tabs>
          <w:tab w:val="left" w:pos="7513"/>
        </w:tabs>
        <w:spacing w:line="480" w:lineRule="exact"/>
        <w:ind w:firstLine="480" w:firstLineChars="200"/>
        <w:rPr>
          <w:rFonts w:cs="宋体"/>
          <w:sz w:val="24"/>
          <w:szCs w:val="24"/>
        </w:rPr>
      </w:pPr>
      <w:r>
        <w:rPr>
          <w:rFonts w:hint="eastAsia" w:cs="宋体"/>
          <w:sz w:val="24"/>
          <w:szCs w:val="24"/>
        </w:rPr>
        <w:t>本企业对上述声明内容的真实性负责。如有虚假，将依法承担相应责任。</w:t>
      </w:r>
    </w:p>
    <w:p>
      <w:pPr>
        <w:tabs>
          <w:tab w:val="left" w:pos="7513"/>
        </w:tabs>
        <w:spacing w:line="480" w:lineRule="exact"/>
        <w:ind w:firstLine="4320" w:firstLineChars="1800"/>
        <w:rPr>
          <w:rFonts w:cs="宋体"/>
          <w:sz w:val="24"/>
          <w:szCs w:val="24"/>
        </w:rPr>
      </w:pPr>
    </w:p>
    <w:p>
      <w:pPr>
        <w:tabs>
          <w:tab w:val="left" w:pos="7513"/>
        </w:tabs>
        <w:spacing w:line="480" w:lineRule="exact"/>
        <w:ind w:firstLine="4800" w:firstLineChars="2000"/>
        <w:rPr>
          <w:rFonts w:cs="宋体"/>
          <w:sz w:val="24"/>
          <w:szCs w:val="24"/>
        </w:rPr>
      </w:pPr>
      <w:r>
        <w:rPr>
          <w:rFonts w:hint="eastAsia" w:cs="宋体"/>
          <w:sz w:val="24"/>
          <w:szCs w:val="24"/>
        </w:rPr>
        <w:t>企业名称（盖章）：</w:t>
      </w:r>
    </w:p>
    <w:p>
      <w:pPr>
        <w:tabs>
          <w:tab w:val="left" w:pos="7513"/>
        </w:tabs>
        <w:spacing w:line="480" w:lineRule="exact"/>
        <w:ind w:firstLine="4800" w:firstLineChars="2000"/>
        <w:rPr>
          <w:rFonts w:cs="宋体"/>
          <w:sz w:val="24"/>
          <w:szCs w:val="24"/>
        </w:rPr>
      </w:pPr>
      <w:r>
        <w:rPr>
          <w:rFonts w:hint="eastAsia" w:cs="宋体"/>
          <w:sz w:val="24"/>
          <w:szCs w:val="24"/>
        </w:rPr>
        <w:t>日期：</w:t>
      </w:r>
    </w:p>
    <w:p>
      <w:pPr>
        <w:spacing w:line="420" w:lineRule="exact"/>
        <w:jc w:val="left"/>
        <w:rPr>
          <w:sz w:val="24"/>
          <w:szCs w:val="24"/>
        </w:rPr>
      </w:pPr>
      <w:r>
        <w:rPr>
          <w:rFonts w:eastAsia="黑体"/>
          <w:sz w:val="30"/>
        </w:rPr>
        <w:br w:type="page"/>
      </w:r>
      <w:r>
        <w:rPr>
          <w:rFonts w:hint="eastAsia"/>
          <w:sz w:val="24"/>
          <w:szCs w:val="24"/>
        </w:rPr>
        <w:t>附件三　</w:t>
      </w:r>
    </w:p>
    <w:p>
      <w:pPr>
        <w:spacing w:line="420" w:lineRule="exact"/>
        <w:jc w:val="center"/>
        <w:rPr>
          <w:b/>
          <w:sz w:val="24"/>
          <w:szCs w:val="24"/>
        </w:rPr>
      </w:pPr>
      <w:r>
        <w:rPr>
          <w:rFonts w:hint="eastAsia"/>
          <w:b/>
          <w:sz w:val="24"/>
          <w:szCs w:val="24"/>
        </w:rPr>
        <w:t>报价函</w:t>
      </w:r>
    </w:p>
    <w:p>
      <w:pPr>
        <w:spacing w:line="420" w:lineRule="exact"/>
        <w:jc w:val="left"/>
        <w:rPr>
          <w:b/>
          <w:sz w:val="30"/>
        </w:rPr>
      </w:pPr>
    </w:p>
    <w:p>
      <w:pPr>
        <w:spacing w:line="420" w:lineRule="exact"/>
      </w:pPr>
    </w:p>
    <w:p>
      <w:pPr>
        <w:spacing w:line="420" w:lineRule="exact"/>
        <w:rPr>
          <w:sz w:val="24"/>
          <w:u w:val="single"/>
        </w:rPr>
      </w:pPr>
      <w:r>
        <w:rPr>
          <w:rFonts w:hint="eastAsia"/>
          <w:sz w:val="24"/>
          <w:u w:val="single"/>
        </w:rPr>
        <w:t>北京大学第六医院：</w:t>
      </w:r>
    </w:p>
    <w:p>
      <w:pPr>
        <w:spacing w:line="420" w:lineRule="exact"/>
        <w:rPr>
          <w:sz w:val="24"/>
        </w:rPr>
      </w:pPr>
    </w:p>
    <w:p>
      <w:pPr>
        <w:spacing w:line="420" w:lineRule="exact"/>
        <w:rPr>
          <w:sz w:val="24"/>
        </w:rPr>
      </w:pPr>
      <w:r>
        <w:rPr>
          <w:sz w:val="24"/>
        </w:rPr>
        <w:t xml:space="preserve">     __________________________(</w:t>
      </w:r>
      <w:r>
        <w:rPr>
          <w:rFonts w:hint="eastAsia"/>
          <w:sz w:val="24"/>
        </w:rPr>
        <w:t>响应人全称</w:t>
      </w:r>
      <w:r>
        <w:rPr>
          <w:sz w:val="24"/>
        </w:rPr>
        <w:t>)</w:t>
      </w:r>
      <w:r>
        <w:rPr>
          <w:rFonts w:hint="eastAsia"/>
          <w:sz w:val="24"/>
        </w:rPr>
        <w:t>授权</w:t>
      </w:r>
      <w:r>
        <w:rPr>
          <w:sz w:val="24"/>
        </w:rPr>
        <w:t>____________________ (</w:t>
      </w:r>
      <w:r>
        <w:rPr>
          <w:rFonts w:hint="eastAsia"/>
          <w:sz w:val="24"/>
        </w:rPr>
        <w:t>法定代表人/授权代表姓名</w:t>
      </w:r>
      <w:r>
        <w:rPr>
          <w:sz w:val="24"/>
        </w:rPr>
        <w:t>)____________________(</w:t>
      </w:r>
      <w:r>
        <w:rPr>
          <w:rFonts w:hint="eastAsia"/>
          <w:sz w:val="24"/>
        </w:rPr>
        <w:t>职务、职称</w:t>
      </w:r>
      <w:r>
        <w:rPr>
          <w:sz w:val="24"/>
        </w:rPr>
        <w:t>)</w:t>
      </w:r>
      <w:r>
        <w:rPr>
          <w:rFonts w:hint="eastAsia"/>
          <w:sz w:val="24"/>
        </w:rPr>
        <w:t xml:space="preserve">为全权代表，参加贵方组织的 </w:t>
      </w:r>
      <w:r>
        <w:rPr>
          <w:rFonts w:hint="eastAsia"/>
          <w:sz w:val="24"/>
          <w:u w:val="single"/>
        </w:rPr>
        <w:t xml:space="preserve">                                 （项目名称）</w:t>
      </w:r>
      <w:r>
        <w:rPr>
          <w:rFonts w:hint="eastAsia"/>
          <w:sz w:val="24"/>
        </w:rPr>
        <w:t>的有关活动，并对该项目进行采购论证。为此：</w:t>
      </w:r>
    </w:p>
    <w:p>
      <w:pPr>
        <w:spacing w:line="420" w:lineRule="exact"/>
        <w:outlineLvl w:val="0"/>
        <w:rPr>
          <w:sz w:val="24"/>
        </w:rPr>
      </w:pPr>
      <w:r>
        <w:rPr>
          <w:sz w:val="24"/>
        </w:rPr>
        <w:t xml:space="preserve">    1</w:t>
      </w:r>
      <w:r>
        <w:rPr>
          <w:rFonts w:hint="eastAsia"/>
          <w:sz w:val="24"/>
        </w:rPr>
        <w:t>、提供采购论证规定的全部论证文件：包括电子版报名资料</w:t>
      </w:r>
      <w:r>
        <w:rPr>
          <w:sz w:val="24"/>
        </w:rPr>
        <w:t>1</w:t>
      </w:r>
      <w:r>
        <w:rPr>
          <w:rFonts w:hint="eastAsia"/>
          <w:sz w:val="24"/>
        </w:rPr>
        <w:t>份，电子版论证文件1份；</w:t>
      </w:r>
    </w:p>
    <w:p>
      <w:pPr>
        <w:spacing w:line="420" w:lineRule="exact"/>
        <w:rPr>
          <w:sz w:val="24"/>
        </w:rPr>
      </w:pPr>
      <w:r>
        <w:rPr>
          <w:sz w:val="24"/>
        </w:rPr>
        <w:t xml:space="preserve">    2</w:t>
      </w:r>
      <w:r>
        <w:rPr>
          <w:rFonts w:hint="eastAsia"/>
          <w:sz w:val="24"/>
        </w:rPr>
        <w:t>、采购论证项目总价为</w:t>
      </w:r>
      <w:r>
        <w:rPr>
          <w:sz w:val="24"/>
        </w:rPr>
        <w:t>(</w:t>
      </w:r>
      <w:r>
        <w:rPr>
          <w:rFonts w:hint="eastAsia"/>
          <w:sz w:val="24"/>
        </w:rPr>
        <w:t>大写</w:t>
      </w:r>
      <w:r>
        <w:rPr>
          <w:sz w:val="24"/>
        </w:rPr>
        <w:t>)</w:t>
      </w:r>
      <w:r>
        <w:rPr>
          <w:rFonts w:hint="eastAsia"/>
          <w:sz w:val="24"/>
        </w:rPr>
        <w:t>：</w:t>
      </w:r>
      <w:r>
        <w:rPr>
          <w:rFonts w:hint="eastAsia"/>
          <w:sz w:val="24"/>
          <w:u w:val="single"/>
        </w:rPr>
        <w:t>　　　　　　　　　</w:t>
      </w:r>
      <w:r>
        <w:rPr>
          <w:rFonts w:hint="eastAsia"/>
          <w:b/>
          <w:sz w:val="24"/>
          <w:u w:val="single"/>
        </w:rPr>
        <w:t>元</w:t>
      </w:r>
      <w:r>
        <w:rPr>
          <w:rFonts w:hint="eastAsia"/>
          <w:sz w:val="24"/>
        </w:rPr>
        <w:t>人民币。</w:t>
      </w:r>
    </w:p>
    <w:p>
      <w:pPr>
        <w:spacing w:line="420" w:lineRule="exact"/>
        <w:ind w:firstLine="480" w:firstLineChars="200"/>
        <w:rPr>
          <w:sz w:val="24"/>
        </w:rPr>
      </w:pPr>
      <w:r>
        <w:rPr>
          <w:rFonts w:hint="eastAsia"/>
          <w:sz w:val="24"/>
        </w:rPr>
        <w:t>3、保证忠实地执行买卖双方所签经济合同，并承担合同规定的责任义务。</w:t>
      </w:r>
    </w:p>
    <w:p>
      <w:pPr>
        <w:spacing w:line="420" w:lineRule="exact"/>
        <w:ind w:left="839" w:leftChars="228" w:hanging="360" w:hangingChars="150"/>
        <w:rPr>
          <w:rFonts w:ascii="宋体"/>
          <w:sz w:val="24"/>
        </w:rPr>
      </w:pPr>
      <w:r>
        <w:rPr>
          <w:rFonts w:hint="eastAsia"/>
          <w:sz w:val="24"/>
        </w:rPr>
        <w:t>4、</w:t>
      </w:r>
      <w:r>
        <w:rPr>
          <w:rFonts w:hint="eastAsia" w:ascii="宋体"/>
          <w:sz w:val="24"/>
        </w:rPr>
        <w:t>响应人已详细审查全部论证需求文件，包括修改文件（如有的话）以及全部参考资料和有关附件。我们完全理解并同意放弃对这方面有不明及误解的权利。</w:t>
      </w:r>
    </w:p>
    <w:p>
      <w:pPr>
        <w:spacing w:line="420" w:lineRule="exact"/>
        <w:ind w:left="839" w:leftChars="228" w:hanging="360" w:hangingChars="150"/>
        <w:rPr>
          <w:rFonts w:ascii="宋体"/>
          <w:sz w:val="24"/>
        </w:rPr>
      </w:pPr>
      <w:r>
        <w:rPr>
          <w:rFonts w:hint="eastAsia"/>
          <w:sz w:val="24"/>
        </w:rPr>
        <w:t>5、</w:t>
      </w:r>
      <w:r>
        <w:rPr>
          <w:rFonts w:hint="eastAsia" w:ascii="宋体"/>
          <w:sz w:val="24"/>
        </w:rPr>
        <w:t>响应人同意提供按照贵方可能要求的与其论证有关的一切数据或资料，完全理解贵方不一定要接受最低价的论证文件。</w:t>
      </w:r>
    </w:p>
    <w:p>
      <w:pPr>
        <w:spacing w:line="420" w:lineRule="exact"/>
        <w:ind w:left="839" w:leftChars="228" w:hanging="360" w:hangingChars="150"/>
        <w:rPr>
          <w:rFonts w:ascii="宋体"/>
          <w:sz w:val="24"/>
        </w:rPr>
      </w:pPr>
      <w:r>
        <w:rPr>
          <w:rFonts w:hint="eastAsia"/>
          <w:sz w:val="24"/>
        </w:rPr>
        <w:t>6、保证遵守论证要求中的有关规定。</w:t>
      </w:r>
    </w:p>
    <w:p>
      <w:pPr>
        <w:spacing w:line="420" w:lineRule="exact"/>
        <w:ind w:firstLine="480" w:firstLineChars="200"/>
        <w:rPr>
          <w:sz w:val="24"/>
        </w:rPr>
      </w:pPr>
      <w:r>
        <w:rPr>
          <w:rFonts w:hint="eastAsia"/>
          <w:sz w:val="24"/>
        </w:rPr>
        <w:t>7、本论证自采购论证之日起</w:t>
      </w:r>
      <w:r>
        <w:rPr>
          <w:sz w:val="24"/>
          <w:u w:val="single"/>
        </w:rPr>
        <w:t>90</w:t>
      </w:r>
      <w:r>
        <w:rPr>
          <w:rFonts w:hint="eastAsia"/>
          <w:sz w:val="24"/>
        </w:rPr>
        <w:t>天内有效。</w:t>
      </w:r>
    </w:p>
    <w:p>
      <w:pPr>
        <w:spacing w:line="420" w:lineRule="exact"/>
        <w:ind w:firstLine="480" w:firstLineChars="200"/>
        <w:rPr>
          <w:sz w:val="24"/>
        </w:rPr>
      </w:pPr>
      <w:r>
        <w:rPr>
          <w:rFonts w:hint="eastAsia"/>
          <w:sz w:val="24"/>
        </w:rPr>
        <w:t>8、与本采购论证有关的一切往来通讯请寄：</w:t>
      </w:r>
    </w:p>
    <w:p>
      <w:pPr>
        <w:spacing w:line="420" w:lineRule="exact"/>
        <w:rPr>
          <w:sz w:val="24"/>
        </w:rPr>
      </w:pPr>
    </w:p>
    <w:p>
      <w:pPr>
        <w:spacing w:line="420" w:lineRule="exact"/>
        <w:rPr>
          <w:sz w:val="24"/>
        </w:rPr>
      </w:pPr>
      <w:r>
        <w:rPr>
          <w:rFonts w:hint="eastAsia"/>
          <w:sz w:val="24"/>
        </w:rPr>
        <w:t>地址：</w:t>
      </w:r>
      <w:r>
        <w:rPr>
          <w:sz w:val="24"/>
        </w:rPr>
        <w:t>____________________________________________________</w:t>
      </w:r>
    </w:p>
    <w:p>
      <w:pPr>
        <w:spacing w:line="420" w:lineRule="exact"/>
        <w:rPr>
          <w:sz w:val="24"/>
        </w:rPr>
      </w:pPr>
      <w:r>
        <w:rPr>
          <w:rFonts w:hint="eastAsia"/>
          <w:sz w:val="24"/>
        </w:rPr>
        <w:t>邮编：</w:t>
      </w:r>
      <w:r>
        <w:rPr>
          <w:sz w:val="24"/>
        </w:rPr>
        <w:t>____________</w:t>
      </w:r>
      <w:r>
        <w:rPr>
          <w:rFonts w:hint="eastAsia"/>
          <w:sz w:val="24"/>
        </w:rPr>
        <w:t>　电话：</w:t>
      </w:r>
      <w:r>
        <w:rPr>
          <w:sz w:val="24"/>
        </w:rPr>
        <w:t>____________</w:t>
      </w:r>
      <w:r>
        <w:rPr>
          <w:rFonts w:hint="eastAsia"/>
          <w:sz w:val="24"/>
        </w:rPr>
        <w:t>　联系人：</w:t>
      </w:r>
      <w:r>
        <w:rPr>
          <w:sz w:val="24"/>
        </w:rPr>
        <w:t>__________</w:t>
      </w:r>
    </w:p>
    <w:p>
      <w:pPr>
        <w:spacing w:line="420" w:lineRule="exact"/>
        <w:rPr>
          <w:sz w:val="24"/>
          <w:u w:val="single"/>
        </w:rPr>
      </w:pPr>
      <w:r>
        <w:rPr>
          <w:rFonts w:hint="eastAsia"/>
          <w:sz w:val="24"/>
        </w:rPr>
        <w:t>电子信箱地址：</w:t>
      </w:r>
    </w:p>
    <w:p>
      <w:pPr>
        <w:spacing w:line="420" w:lineRule="exact"/>
        <w:rPr>
          <w:sz w:val="24"/>
        </w:rPr>
      </w:pPr>
    </w:p>
    <w:p>
      <w:pPr>
        <w:spacing w:line="420" w:lineRule="exact"/>
        <w:ind w:firstLine="4560"/>
        <w:rPr>
          <w:sz w:val="24"/>
        </w:rPr>
      </w:pPr>
    </w:p>
    <w:p>
      <w:pPr>
        <w:spacing w:line="420" w:lineRule="exact"/>
        <w:ind w:firstLine="3960"/>
        <w:rPr>
          <w:sz w:val="24"/>
        </w:rPr>
      </w:pPr>
      <w:r>
        <w:rPr>
          <w:rFonts w:hint="eastAsia"/>
          <w:sz w:val="24"/>
        </w:rPr>
        <w:t>响应人</w:t>
      </w:r>
      <w:r>
        <w:rPr>
          <w:sz w:val="24"/>
        </w:rPr>
        <w:t>(</w:t>
      </w:r>
      <w:r>
        <w:rPr>
          <w:rFonts w:hint="eastAsia"/>
          <w:sz w:val="24"/>
        </w:rPr>
        <w:t>公章</w:t>
      </w:r>
      <w:r>
        <w:rPr>
          <w:sz w:val="24"/>
        </w:rPr>
        <w:t>)</w:t>
      </w:r>
      <w:r>
        <w:rPr>
          <w:rFonts w:hint="eastAsia"/>
          <w:sz w:val="24"/>
        </w:rPr>
        <w:t>：</w:t>
      </w:r>
    </w:p>
    <w:p>
      <w:pPr>
        <w:spacing w:line="420" w:lineRule="exact"/>
        <w:ind w:firstLine="3960"/>
        <w:rPr>
          <w:sz w:val="24"/>
        </w:rPr>
      </w:pPr>
    </w:p>
    <w:p>
      <w:pPr>
        <w:spacing w:line="420" w:lineRule="exact"/>
        <w:ind w:firstLine="3960"/>
        <w:rPr>
          <w:sz w:val="24"/>
        </w:rPr>
      </w:pPr>
      <w:r>
        <w:rPr>
          <w:rFonts w:hint="eastAsia"/>
          <w:sz w:val="24"/>
        </w:rPr>
        <w:t>法定代表人/授权代表</w:t>
      </w:r>
      <w:r>
        <w:rPr>
          <w:sz w:val="24"/>
        </w:rPr>
        <w:t>(</w:t>
      </w:r>
      <w:r>
        <w:rPr>
          <w:rFonts w:hint="eastAsia"/>
          <w:sz w:val="24"/>
        </w:rPr>
        <w:t>签字</w:t>
      </w:r>
      <w:r>
        <w:rPr>
          <w:sz w:val="24"/>
        </w:rPr>
        <w:t>)</w:t>
      </w:r>
      <w:r>
        <w:rPr>
          <w:rFonts w:hint="eastAsia"/>
          <w:sz w:val="24"/>
        </w:rPr>
        <w:t>：</w:t>
      </w:r>
    </w:p>
    <w:p>
      <w:pPr>
        <w:spacing w:line="420" w:lineRule="exact"/>
        <w:ind w:firstLine="3960"/>
        <w:rPr>
          <w:sz w:val="24"/>
        </w:rPr>
      </w:pPr>
    </w:p>
    <w:p>
      <w:pPr>
        <w:spacing w:line="420" w:lineRule="exact"/>
        <w:ind w:firstLine="3960" w:firstLineChars="1650"/>
        <w:jc w:val="left"/>
        <w:rPr>
          <w:sz w:val="24"/>
        </w:rPr>
      </w:pPr>
      <w:r>
        <w:rPr>
          <w:rFonts w:hint="eastAsia"/>
          <w:sz w:val="24"/>
        </w:rPr>
        <w:t>日　期：</w:t>
      </w:r>
    </w:p>
    <w:p>
      <w:pPr>
        <w:spacing w:line="420" w:lineRule="exact"/>
        <w:jc w:val="left"/>
        <w:rPr>
          <w:sz w:val="24"/>
        </w:rPr>
      </w:pPr>
      <w:r>
        <w:rPr>
          <w:sz w:val="24"/>
        </w:rPr>
        <w:br w:type="page"/>
      </w:r>
      <w:r>
        <w:rPr>
          <w:rFonts w:hint="eastAsia"/>
          <w:sz w:val="24"/>
        </w:rPr>
        <w:t>附件四</w:t>
      </w:r>
    </w:p>
    <w:p>
      <w:pPr>
        <w:spacing w:line="420" w:lineRule="exact"/>
        <w:jc w:val="center"/>
        <w:rPr>
          <w:b/>
          <w:sz w:val="30"/>
        </w:rPr>
      </w:pPr>
      <w:r>
        <w:rPr>
          <w:rFonts w:hint="eastAsia"/>
          <w:b/>
          <w:sz w:val="30"/>
        </w:rPr>
        <w:t>报价一览表</w:t>
      </w:r>
    </w:p>
    <w:p>
      <w:pPr>
        <w:spacing w:line="400" w:lineRule="atLeast"/>
        <w:jc w:val="center"/>
        <w:rPr>
          <w:b/>
          <w:szCs w:val="21"/>
        </w:rPr>
      </w:pPr>
    </w:p>
    <w:p>
      <w:pPr>
        <w:spacing w:line="360" w:lineRule="atLeast"/>
      </w:pPr>
    </w:p>
    <w:p>
      <w:pPr>
        <w:spacing w:line="360" w:lineRule="atLeast"/>
        <w:rPr>
          <w:sz w:val="24"/>
        </w:rPr>
      </w:pPr>
    </w:p>
    <w:p>
      <w:pPr>
        <w:spacing w:line="360" w:lineRule="atLeast"/>
        <w:rPr>
          <w:sz w:val="24"/>
        </w:rPr>
      </w:pPr>
      <w:r>
        <w:rPr>
          <w:rFonts w:hint="eastAsia"/>
          <w:sz w:val="24"/>
        </w:rPr>
        <w:t xml:space="preserve">项目名称： </w:t>
      </w:r>
    </w:p>
    <w:p>
      <w:pPr>
        <w:spacing w:line="360" w:lineRule="atLeast"/>
        <w:rPr>
          <w:sz w:val="24"/>
        </w:rPr>
      </w:pPr>
    </w:p>
    <w:p>
      <w:pPr>
        <w:spacing w:line="400" w:lineRule="exact"/>
        <w:rPr>
          <w:sz w:val="24"/>
          <w:u w:val="single"/>
        </w:rPr>
      </w:pPr>
      <w:r>
        <w:rPr>
          <w:rFonts w:hint="eastAsia"/>
          <w:sz w:val="24"/>
        </w:rPr>
        <w:t>响应人名称：</w:t>
      </w:r>
    </w:p>
    <w:p>
      <w:pPr>
        <w:tabs>
          <w:tab w:val="left" w:pos="825"/>
        </w:tabs>
        <w:spacing w:after="120" w:line="400" w:lineRule="exact"/>
        <w:jc w:val="left"/>
        <w:rPr>
          <w:sz w:val="24"/>
        </w:rPr>
      </w:pPr>
    </w:p>
    <w:tbl>
      <w:tblPr>
        <w:tblStyle w:val="21"/>
        <w:tblW w:w="9376" w:type="dxa"/>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3678"/>
        <w:gridCol w:w="2126"/>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1020" w:type="dxa"/>
            <w:vAlign w:val="center"/>
          </w:tcPr>
          <w:p>
            <w:pPr>
              <w:tabs>
                <w:tab w:val="left" w:pos="825"/>
              </w:tabs>
              <w:spacing w:beforeLines="50" w:afterLines="50" w:line="400" w:lineRule="exact"/>
              <w:jc w:val="center"/>
              <w:rPr>
                <w:b/>
                <w:sz w:val="24"/>
              </w:rPr>
            </w:pPr>
            <w:r>
              <w:rPr>
                <w:rFonts w:hint="eastAsia"/>
                <w:b/>
                <w:sz w:val="24"/>
              </w:rPr>
              <w:t>序号</w:t>
            </w:r>
          </w:p>
        </w:tc>
        <w:tc>
          <w:tcPr>
            <w:tcW w:w="3678" w:type="dxa"/>
            <w:vAlign w:val="center"/>
          </w:tcPr>
          <w:p>
            <w:pPr>
              <w:tabs>
                <w:tab w:val="left" w:pos="825"/>
              </w:tabs>
              <w:spacing w:beforeLines="50" w:afterLines="50" w:line="400" w:lineRule="exact"/>
              <w:jc w:val="center"/>
            </w:pPr>
            <w:r>
              <w:rPr>
                <w:rFonts w:hint="eastAsia"/>
                <w:b/>
                <w:sz w:val="24"/>
              </w:rPr>
              <w:t>名称</w:t>
            </w:r>
          </w:p>
        </w:tc>
        <w:tc>
          <w:tcPr>
            <w:tcW w:w="2126" w:type="dxa"/>
            <w:vAlign w:val="center"/>
          </w:tcPr>
          <w:p>
            <w:pPr>
              <w:tabs>
                <w:tab w:val="left" w:pos="825"/>
              </w:tabs>
              <w:spacing w:beforeLines="50" w:afterLines="50" w:line="400" w:lineRule="exact"/>
              <w:jc w:val="center"/>
              <w:rPr>
                <w:b/>
                <w:sz w:val="24"/>
              </w:rPr>
            </w:pPr>
            <w:r>
              <w:rPr>
                <w:rFonts w:hint="eastAsia"/>
                <w:b/>
                <w:sz w:val="24"/>
              </w:rPr>
              <w:t>数量（套）</w:t>
            </w:r>
          </w:p>
        </w:tc>
        <w:tc>
          <w:tcPr>
            <w:tcW w:w="2552" w:type="dxa"/>
            <w:vAlign w:val="center"/>
          </w:tcPr>
          <w:p>
            <w:pPr>
              <w:tabs>
                <w:tab w:val="left" w:pos="825"/>
              </w:tabs>
              <w:spacing w:beforeLines="50" w:afterLines="50" w:line="400" w:lineRule="exact"/>
              <w:jc w:val="center"/>
              <w:rPr>
                <w:b/>
                <w:sz w:val="24"/>
              </w:rPr>
            </w:pPr>
            <w:r>
              <w:rPr>
                <w:rFonts w:hint="eastAsia"/>
                <w:b/>
                <w:sz w:val="24"/>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trPr>
        <w:tc>
          <w:tcPr>
            <w:tcW w:w="1020" w:type="dxa"/>
            <w:vAlign w:val="center"/>
          </w:tcPr>
          <w:p>
            <w:pPr>
              <w:spacing w:before="120" w:line="400" w:lineRule="exact"/>
              <w:jc w:val="center"/>
              <w:rPr>
                <w:rFonts w:ascii="宋体" w:hAnsi="宋体"/>
                <w:sz w:val="24"/>
              </w:rPr>
            </w:pPr>
            <w:r>
              <w:rPr>
                <w:rFonts w:hint="eastAsia" w:ascii="宋体" w:hAnsi="宋体"/>
                <w:sz w:val="24"/>
              </w:rPr>
              <w:t>1</w:t>
            </w:r>
          </w:p>
        </w:tc>
        <w:tc>
          <w:tcPr>
            <w:tcW w:w="3678" w:type="dxa"/>
            <w:vAlign w:val="center"/>
          </w:tcPr>
          <w:p>
            <w:pPr>
              <w:spacing w:before="120" w:line="400" w:lineRule="exact"/>
              <w:rPr>
                <w:sz w:val="24"/>
              </w:rPr>
            </w:pPr>
          </w:p>
        </w:tc>
        <w:tc>
          <w:tcPr>
            <w:tcW w:w="2126" w:type="dxa"/>
            <w:vAlign w:val="center"/>
          </w:tcPr>
          <w:p>
            <w:pPr>
              <w:tabs>
                <w:tab w:val="left" w:pos="825"/>
              </w:tabs>
              <w:spacing w:before="120" w:line="400" w:lineRule="exact"/>
              <w:jc w:val="center"/>
              <w:rPr>
                <w:sz w:val="24"/>
              </w:rPr>
            </w:pPr>
          </w:p>
        </w:tc>
        <w:tc>
          <w:tcPr>
            <w:tcW w:w="2552" w:type="dxa"/>
            <w:vAlign w:val="center"/>
          </w:tcPr>
          <w:p>
            <w:pPr>
              <w:tabs>
                <w:tab w:val="left" w:pos="825"/>
              </w:tabs>
              <w:spacing w:before="120" w:line="400" w:lineRule="exact"/>
              <w:jc w:val="center"/>
              <w:rPr>
                <w:sz w:val="24"/>
              </w:rPr>
            </w:pPr>
          </w:p>
        </w:tc>
      </w:tr>
    </w:tbl>
    <w:p>
      <w:pPr>
        <w:pStyle w:val="11"/>
        <w:spacing w:before="360" w:line="400" w:lineRule="exact"/>
      </w:pPr>
    </w:p>
    <w:p>
      <w:pPr>
        <w:pStyle w:val="11"/>
        <w:spacing w:before="360" w:line="400" w:lineRule="exact"/>
        <w:rPr>
          <w:u w:val="single"/>
        </w:rPr>
      </w:pPr>
      <w:r>
        <w:rPr>
          <w:rFonts w:hint="eastAsia"/>
        </w:rPr>
        <w:t>采购论证总价大写金额：</w:t>
      </w:r>
    </w:p>
    <w:p>
      <w:pPr>
        <w:spacing w:line="400" w:lineRule="exact"/>
      </w:pPr>
    </w:p>
    <w:p>
      <w:pPr>
        <w:pStyle w:val="6"/>
      </w:pPr>
    </w:p>
    <w:p>
      <w:pPr>
        <w:pStyle w:val="6"/>
      </w:pPr>
    </w:p>
    <w:p>
      <w:pPr>
        <w:pStyle w:val="6"/>
      </w:pPr>
    </w:p>
    <w:p>
      <w:pPr>
        <w:spacing w:line="360" w:lineRule="auto"/>
        <w:rPr>
          <w:sz w:val="24"/>
        </w:rPr>
      </w:pPr>
      <w:r>
        <w:rPr>
          <w:rFonts w:hint="eastAsia"/>
          <w:sz w:val="24"/>
        </w:rPr>
        <w:t>响应人（公章）：</w:t>
      </w:r>
    </w:p>
    <w:p>
      <w:pPr>
        <w:spacing w:line="360" w:lineRule="auto"/>
        <w:rPr>
          <w:sz w:val="24"/>
        </w:rPr>
      </w:pPr>
    </w:p>
    <w:p>
      <w:pPr>
        <w:spacing w:line="360" w:lineRule="auto"/>
        <w:rPr>
          <w:sz w:val="24"/>
        </w:rPr>
      </w:pPr>
      <w:r>
        <w:rPr>
          <w:rFonts w:hint="eastAsia"/>
          <w:sz w:val="24"/>
        </w:rPr>
        <w:t>法定代表人/授权代表（签字）：</w:t>
      </w:r>
    </w:p>
    <w:p>
      <w:pPr>
        <w:spacing w:line="360" w:lineRule="auto"/>
        <w:rPr>
          <w:sz w:val="24"/>
        </w:rPr>
      </w:pPr>
    </w:p>
    <w:p>
      <w:pPr>
        <w:spacing w:line="360" w:lineRule="auto"/>
        <w:rPr>
          <w:sz w:val="24"/>
        </w:rPr>
      </w:pPr>
      <w:r>
        <w:rPr>
          <w:rFonts w:hint="eastAsia"/>
          <w:sz w:val="24"/>
        </w:rPr>
        <w:t>日         期：</w:t>
      </w:r>
    </w:p>
    <w:p>
      <w:pPr>
        <w:spacing w:line="400" w:lineRule="exact"/>
        <w:rPr>
          <w:rFonts w:eastAsia="仿宋_GB2312"/>
          <w:sz w:val="24"/>
        </w:rPr>
      </w:pPr>
    </w:p>
    <w:p>
      <w:pPr>
        <w:spacing w:line="400" w:lineRule="exact"/>
        <w:rPr>
          <w:rFonts w:eastAsia="仿宋_GB2312"/>
          <w:sz w:val="24"/>
        </w:rPr>
      </w:pPr>
    </w:p>
    <w:p>
      <w:pPr>
        <w:pStyle w:val="37"/>
        <w:ind w:firstLine="480"/>
        <w:rPr>
          <w:rFonts w:eastAsia="仿宋_GB2312"/>
          <w:sz w:val="24"/>
          <w:szCs w:val="20"/>
        </w:rPr>
      </w:pPr>
    </w:p>
    <w:p>
      <w:pPr>
        <w:pStyle w:val="37"/>
        <w:ind w:firstLine="480"/>
        <w:rPr>
          <w:rFonts w:eastAsia="仿宋_GB2312"/>
          <w:sz w:val="24"/>
        </w:rPr>
      </w:pPr>
    </w:p>
    <w:p>
      <w:pPr>
        <w:pStyle w:val="37"/>
        <w:ind w:firstLine="48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报价清单</w:t>
      </w: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firstLine="480"/>
        <w:jc w:val="center"/>
        <w:rPr>
          <w:rFonts w:hint="eastAsia" w:asciiTheme="minorEastAsia" w:hAnsiTheme="minorEastAsia" w:eastAsiaTheme="minorEastAsia" w:cstheme="minorEastAsia"/>
          <w:sz w:val="24"/>
          <w:lang w:eastAsia="zh-CN"/>
        </w:rPr>
      </w:pPr>
    </w:p>
    <w:p>
      <w:pPr>
        <w:pStyle w:val="37"/>
        <w:ind w:left="0" w:leftChars="0" w:firstLine="0" w:firstLineChars="0"/>
        <w:rPr>
          <w:rFonts w:eastAsia="仿宋_GB2312"/>
          <w:b/>
          <w:bCs/>
          <w:sz w:val="24"/>
        </w:rPr>
      </w:pPr>
    </w:p>
    <w:p>
      <w:pPr>
        <w:pStyle w:val="37"/>
        <w:ind w:left="0" w:leftChars="0" w:firstLine="0" w:firstLineChars="0"/>
        <w:jc w:val="left"/>
        <w:rPr>
          <w:rFonts w:eastAsia="仿宋_GB2312"/>
          <w:b/>
          <w:bCs/>
          <w:sz w:val="24"/>
        </w:rPr>
      </w:pPr>
      <w:r>
        <w:rPr>
          <w:rFonts w:hint="eastAsia" w:ascii="宋体" w:hAnsi="宋体" w:cs="宋体"/>
          <w:sz w:val="24"/>
        </w:rPr>
        <w:t xml:space="preserve">附件五  </w:t>
      </w:r>
    </w:p>
    <w:p>
      <w:pPr>
        <w:spacing w:line="360" w:lineRule="atLeast"/>
        <w:jc w:val="center"/>
        <w:rPr>
          <w:rFonts w:ascii="宋体"/>
          <w:sz w:val="24"/>
        </w:rPr>
      </w:pPr>
      <w:r>
        <w:rPr>
          <w:rFonts w:hint="eastAsia" w:ascii="宋体"/>
          <w:b/>
          <w:sz w:val="28"/>
        </w:rPr>
        <w:t>关于资格的声明函</w:t>
      </w:r>
    </w:p>
    <w:p>
      <w:pPr>
        <w:spacing w:line="360" w:lineRule="atLeast"/>
        <w:rPr>
          <w:rFonts w:ascii="宋体"/>
          <w:sz w:val="24"/>
        </w:rPr>
      </w:pPr>
    </w:p>
    <w:p>
      <w:pPr>
        <w:spacing w:line="360" w:lineRule="atLeast"/>
        <w:rPr>
          <w:rFonts w:ascii="宋体"/>
          <w:sz w:val="24"/>
        </w:rPr>
      </w:pPr>
      <w:r>
        <w:rPr>
          <w:rFonts w:ascii="宋体"/>
        </w:rPr>
        <w:t>___________________________</w:t>
      </w:r>
      <w:r>
        <w:rPr>
          <w:rFonts w:hint="eastAsia" w:ascii="宋体"/>
          <w:sz w:val="24"/>
        </w:rPr>
        <w:t>：</w:t>
      </w:r>
    </w:p>
    <w:p>
      <w:pPr>
        <w:spacing w:line="360" w:lineRule="atLeast"/>
        <w:rPr>
          <w:rFonts w:ascii="宋体"/>
          <w:sz w:val="24"/>
        </w:rPr>
      </w:pPr>
    </w:p>
    <w:p>
      <w:pPr>
        <w:spacing w:line="360" w:lineRule="atLeast"/>
        <w:rPr>
          <w:rFonts w:ascii="宋体"/>
          <w:sz w:val="24"/>
        </w:rPr>
      </w:pPr>
      <w:r>
        <w:rPr>
          <w:rFonts w:hint="eastAsia" w:ascii="宋体"/>
          <w:sz w:val="24"/>
        </w:rPr>
        <w:t>关于贵方</w:t>
      </w:r>
      <w:r>
        <w:rPr>
          <w:rFonts w:ascii="宋体"/>
        </w:rPr>
        <w:t>______</w:t>
      </w:r>
      <w:r>
        <w:rPr>
          <w:rFonts w:hint="eastAsia" w:ascii="宋体"/>
          <w:u w:val="single"/>
        </w:rPr>
        <w:t>（项目名称）</w:t>
      </w:r>
      <w:r>
        <w:rPr>
          <w:rFonts w:ascii="宋体"/>
        </w:rPr>
        <w:t>___</w:t>
      </w:r>
      <w:r>
        <w:rPr>
          <w:rFonts w:hint="eastAsia" w:ascii="宋体"/>
          <w:sz w:val="24"/>
          <w:szCs w:val="24"/>
        </w:rPr>
        <w:t>的采购论证</w:t>
      </w:r>
      <w:r>
        <w:rPr>
          <w:rFonts w:hint="eastAsia" w:ascii="宋体"/>
          <w:sz w:val="24"/>
        </w:rPr>
        <w:t>，本签字人愿意参加论证，提供论证规定的</w:t>
      </w:r>
      <w:r>
        <w:rPr>
          <w:rFonts w:ascii="宋体"/>
        </w:rPr>
        <w:t>_______________________</w:t>
      </w:r>
      <w:r>
        <w:rPr>
          <w:rFonts w:hint="eastAsia" w:ascii="宋体"/>
          <w:sz w:val="24"/>
        </w:rPr>
        <w:t>（货物和服务名称），并证明提交的下列文件和说明是准确的和真实的。</w:t>
      </w:r>
    </w:p>
    <w:p>
      <w:pPr>
        <w:spacing w:line="360" w:lineRule="atLeast"/>
        <w:rPr>
          <w:rFonts w:ascii="宋体"/>
          <w:sz w:val="24"/>
        </w:rPr>
      </w:pPr>
    </w:p>
    <w:p>
      <w:pPr>
        <w:spacing w:line="360" w:lineRule="atLeast"/>
        <w:rPr>
          <w:rFonts w:ascii="宋体"/>
          <w:sz w:val="24"/>
        </w:rPr>
      </w:pPr>
      <w:r>
        <w:rPr>
          <w:rFonts w:hint="eastAsia" w:ascii="宋体"/>
          <w:sz w:val="24"/>
        </w:rPr>
        <w:t>1</w:t>
      </w:r>
      <w:r>
        <w:rPr>
          <w:rFonts w:ascii="宋体"/>
          <w:sz w:val="24"/>
        </w:rPr>
        <w:t>.</w:t>
      </w:r>
      <w:r>
        <w:rPr>
          <w:rFonts w:hint="eastAsia" w:ascii="宋体"/>
          <w:sz w:val="24"/>
        </w:rPr>
        <w:t>我方的资格报名文件电子版一份。</w:t>
      </w:r>
    </w:p>
    <w:p>
      <w:pPr>
        <w:spacing w:line="360" w:lineRule="atLeast"/>
        <w:rPr>
          <w:rFonts w:ascii="宋体"/>
          <w:sz w:val="24"/>
        </w:rPr>
      </w:pPr>
    </w:p>
    <w:p>
      <w:pPr>
        <w:spacing w:line="360" w:lineRule="atLeast"/>
        <w:rPr>
          <w:rFonts w:ascii="宋体"/>
          <w:sz w:val="24"/>
        </w:rPr>
      </w:pPr>
      <w:r>
        <w:rPr>
          <w:rFonts w:hint="eastAsia" w:ascii="宋体"/>
          <w:sz w:val="24"/>
        </w:rPr>
        <w:t>2</w:t>
      </w:r>
      <w:r>
        <w:rPr>
          <w:rFonts w:ascii="宋体"/>
          <w:sz w:val="24"/>
        </w:rPr>
        <w:t>.</w:t>
      </w:r>
      <w:r>
        <w:rPr>
          <w:rFonts w:hint="eastAsia" w:ascii="宋体"/>
          <w:sz w:val="24"/>
        </w:rPr>
        <w:t>本签字人确认资格报名文件中的说明是真实的、准确的。</w:t>
      </w:r>
    </w:p>
    <w:p>
      <w:pPr>
        <w:spacing w:line="360" w:lineRule="atLeast"/>
        <w:rPr>
          <w:rFonts w:ascii="宋体"/>
          <w:sz w:val="24"/>
        </w:rPr>
      </w:pPr>
    </w:p>
    <w:p>
      <w:pPr>
        <w:spacing w:line="360" w:lineRule="atLeast"/>
        <w:rPr>
          <w:rFonts w:ascii="宋体"/>
          <w:sz w:val="24"/>
        </w:rPr>
      </w:pPr>
    </w:p>
    <w:p>
      <w:pPr>
        <w:spacing w:beforeLines="50" w:line="400" w:lineRule="exact"/>
        <w:ind w:firstLine="360" w:firstLineChars="150"/>
        <w:rPr>
          <w:sz w:val="24"/>
        </w:rPr>
      </w:pPr>
      <w:r>
        <w:rPr>
          <w:rFonts w:hint="eastAsia"/>
          <w:sz w:val="24"/>
        </w:rPr>
        <w:t>响应人名称（盖章）：</w:t>
      </w:r>
      <w:r>
        <w:rPr>
          <w:sz w:val="24"/>
        </w:rPr>
        <w:t>___________________</w:t>
      </w:r>
    </w:p>
    <w:p>
      <w:pPr>
        <w:spacing w:beforeLines="50" w:line="400" w:lineRule="exact"/>
        <w:ind w:firstLine="360" w:firstLineChars="150"/>
        <w:rPr>
          <w:sz w:val="24"/>
        </w:rPr>
      </w:pPr>
      <w:r>
        <w:rPr>
          <w:rFonts w:hint="eastAsia"/>
          <w:sz w:val="24"/>
        </w:rPr>
        <w:t>法定代表人/授权代表（签字）：</w:t>
      </w:r>
      <w:r>
        <w:rPr>
          <w:sz w:val="24"/>
        </w:rPr>
        <w:t>___________________</w:t>
      </w:r>
    </w:p>
    <w:p>
      <w:pPr>
        <w:spacing w:beforeLines="50" w:line="400" w:lineRule="exact"/>
        <w:ind w:firstLine="360" w:firstLineChars="150"/>
        <w:rPr>
          <w:sz w:val="24"/>
        </w:rPr>
      </w:pPr>
      <w:r>
        <w:rPr>
          <w:rFonts w:hint="eastAsia"/>
          <w:sz w:val="24"/>
        </w:rPr>
        <w:t>日   期：</w:t>
      </w:r>
      <w:r>
        <w:rPr>
          <w:sz w:val="24"/>
        </w:rPr>
        <w:t xml:space="preserve">___________________     </w:t>
      </w:r>
    </w:p>
    <w:p>
      <w:pPr>
        <w:pStyle w:val="37"/>
        <w:ind w:left="0" w:leftChars="0" w:firstLine="0" w:firstLineChars="0"/>
        <w:jc w:val="center"/>
        <w:rPr>
          <w:rFonts w:eastAsia="仿宋_GB2312"/>
          <w:b/>
          <w:bCs/>
          <w:sz w:val="24"/>
        </w:rPr>
      </w:pPr>
    </w:p>
    <w:p>
      <w:pPr>
        <w:pStyle w:val="37"/>
        <w:ind w:left="0" w:leftChars="0" w:firstLine="0" w:firstLineChars="0"/>
        <w:rPr>
          <w:rFonts w:eastAsia="仿宋_GB2312"/>
          <w:sz w:val="24"/>
        </w:rPr>
      </w:pPr>
    </w:p>
    <w:p>
      <w:pPr>
        <w:jc w:val="left"/>
        <w:outlineLvl w:val="0"/>
        <w:rPr>
          <w:rFonts w:eastAsia="黑体"/>
          <w:sz w:val="24"/>
        </w:rPr>
        <w:sectPr>
          <w:headerReference r:id="rId7" w:type="default"/>
          <w:footerReference r:id="rId8" w:type="default"/>
          <w:pgSz w:w="11907" w:h="16840"/>
          <w:pgMar w:top="1588" w:right="1134" w:bottom="1814" w:left="1418" w:header="851" w:footer="737" w:gutter="0"/>
          <w:cols w:space="720" w:num="1"/>
          <w:docGrid w:linePitch="285" w:charSpace="0"/>
        </w:sectPr>
      </w:pPr>
    </w:p>
    <w:p>
      <w:pPr>
        <w:spacing w:line="600" w:lineRule="exact"/>
        <w:jc w:val="left"/>
        <w:rPr>
          <w:rFonts w:ascii="宋体"/>
          <w:b/>
          <w:sz w:val="28"/>
          <w:szCs w:val="28"/>
        </w:rPr>
      </w:pPr>
      <w:r>
        <w:rPr>
          <w:rFonts w:hint="eastAsia" w:ascii="宋体"/>
          <w:sz w:val="24"/>
          <w:szCs w:val="24"/>
        </w:rPr>
        <w:t>附件六</w:t>
      </w:r>
    </w:p>
    <w:p>
      <w:pPr>
        <w:spacing w:line="360" w:lineRule="atLeast"/>
        <w:jc w:val="center"/>
        <w:rPr>
          <w:rFonts w:ascii="宋体"/>
          <w:b/>
          <w:sz w:val="28"/>
        </w:rPr>
      </w:pPr>
      <w:r>
        <w:rPr>
          <w:rFonts w:hint="eastAsia" w:ascii="宋体"/>
          <w:b/>
          <w:sz w:val="28"/>
        </w:rPr>
        <w:t>响应人单位情况表</w:t>
      </w:r>
    </w:p>
    <w:p>
      <w:pPr>
        <w:spacing w:line="360" w:lineRule="atLeast"/>
        <w:jc w:val="center"/>
        <w:rPr>
          <w:rFonts w:ascii="宋体"/>
          <w:b/>
          <w:sz w:val="30"/>
        </w:rPr>
      </w:pPr>
    </w:p>
    <w:p>
      <w:pPr>
        <w:spacing w:line="360" w:lineRule="atLeast"/>
        <w:rPr>
          <w:b/>
        </w:rPr>
      </w:pPr>
    </w:p>
    <w:p>
      <w:pPr>
        <w:spacing w:after="240" w:line="360" w:lineRule="atLeast"/>
        <w:jc w:val="left"/>
        <w:rPr>
          <w:sz w:val="24"/>
        </w:rPr>
      </w:pPr>
      <w:r>
        <w:rPr>
          <w:rFonts w:hint="eastAsia"/>
          <w:sz w:val="24"/>
        </w:rPr>
        <w:t>响应人：</w:t>
      </w:r>
      <w:r>
        <w:rPr>
          <w:sz w:val="24"/>
        </w:rPr>
        <w:t>(</w:t>
      </w:r>
      <w:r>
        <w:rPr>
          <w:rFonts w:hint="eastAsia"/>
          <w:sz w:val="24"/>
        </w:rPr>
        <w:t>公章</w:t>
      </w:r>
      <w:r>
        <w:rPr>
          <w:sz w:val="24"/>
        </w:rPr>
        <w:t xml:space="preserve">)                                  </w:t>
      </w:r>
      <w:r>
        <w:rPr>
          <w:rFonts w:hint="eastAsia"/>
          <w:sz w:val="24"/>
        </w:rPr>
        <w:t>填表日期：</w:t>
      </w:r>
    </w:p>
    <w:tbl>
      <w:tblPr>
        <w:tblStyle w:val="21"/>
        <w:tblW w:w="0" w:type="auto"/>
        <w:tblInd w:w="2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575"/>
        <w:gridCol w:w="945"/>
        <w:gridCol w:w="630"/>
        <w:gridCol w:w="525"/>
        <w:gridCol w:w="945"/>
        <w:gridCol w:w="315"/>
        <w:gridCol w:w="840"/>
        <w:gridCol w:w="525"/>
        <w:gridCol w:w="945"/>
        <w:gridCol w:w="105"/>
        <w:gridCol w:w="21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pPr>
              <w:spacing w:line="360" w:lineRule="atLeast"/>
              <w:jc w:val="center"/>
            </w:pPr>
            <w:r>
              <w:rPr>
                <w:rFonts w:hint="eastAsia"/>
              </w:rPr>
              <w:t>响应人单位名称</w:t>
            </w:r>
          </w:p>
        </w:tc>
        <w:tc>
          <w:tcPr>
            <w:tcW w:w="7875" w:type="dxa"/>
            <w:gridSpan w:val="10"/>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tcPr>
          <w:p>
            <w:pPr>
              <w:spacing w:line="360" w:lineRule="atLeast"/>
              <w:jc w:val="center"/>
            </w:pPr>
            <w:r>
              <w:rPr>
                <w:rFonts w:hint="eastAsia"/>
              </w:rPr>
              <w:t>详细地址</w:t>
            </w:r>
          </w:p>
        </w:tc>
        <w:tc>
          <w:tcPr>
            <w:tcW w:w="7875" w:type="dxa"/>
            <w:gridSpan w:val="10"/>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pPr>
              <w:spacing w:line="360" w:lineRule="atLeast"/>
              <w:jc w:val="center"/>
            </w:pPr>
            <w:r>
              <w:rPr>
                <w:rFonts w:hint="eastAsia"/>
              </w:rPr>
              <w:t>主管部门</w:t>
            </w:r>
          </w:p>
        </w:tc>
        <w:tc>
          <w:tcPr>
            <w:tcW w:w="1575" w:type="dxa"/>
            <w:gridSpan w:val="2"/>
          </w:tcPr>
          <w:p>
            <w:pPr>
              <w:spacing w:line="360" w:lineRule="atLeast"/>
              <w:jc w:val="center"/>
            </w:pPr>
          </w:p>
        </w:tc>
        <w:tc>
          <w:tcPr>
            <w:tcW w:w="1470" w:type="dxa"/>
            <w:gridSpan w:val="2"/>
          </w:tcPr>
          <w:p>
            <w:pPr>
              <w:spacing w:line="360" w:lineRule="atLeast"/>
              <w:jc w:val="center"/>
            </w:pPr>
            <w:r>
              <w:rPr>
                <w:rFonts w:hint="eastAsia"/>
              </w:rPr>
              <w:t>法人代表</w:t>
            </w:r>
          </w:p>
        </w:tc>
        <w:tc>
          <w:tcPr>
            <w:tcW w:w="1680" w:type="dxa"/>
            <w:gridSpan w:val="3"/>
          </w:tcPr>
          <w:p>
            <w:pPr>
              <w:spacing w:line="360" w:lineRule="atLeast"/>
              <w:jc w:val="center"/>
            </w:pPr>
          </w:p>
        </w:tc>
        <w:tc>
          <w:tcPr>
            <w:tcW w:w="945" w:type="dxa"/>
          </w:tcPr>
          <w:p>
            <w:pPr>
              <w:spacing w:line="360" w:lineRule="atLeast"/>
              <w:jc w:val="center"/>
            </w:pPr>
            <w:r>
              <w:rPr>
                <w:rFonts w:hint="eastAsia"/>
              </w:rPr>
              <w:t>职务</w:t>
            </w:r>
          </w:p>
        </w:tc>
        <w:tc>
          <w:tcPr>
            <w:tcW w:w="2205" w:type="dxa"/>
            <w:gridSpan w:val="2"/>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400" w:hRule="atLeast"/>
        </w:trPr>
        <w:tc>
          <w:tcPr>
            <w:tcW w:w="1575" w:type="dxa"/>
          </w:tcPr>
          <w:p>
            <w:pPr>
              <w:spacing w:line="360" w:lineRule="atLeast"/>
              <w:jc w:val="center"/>
            </w:pPr>
            <w:r>
              <w:rPr>
                <w:rFonts w:hint="eastAsia"/>
              </w:rPr>
              <w:t>经济类型</w:t>
            </w:r>
          </w:p>
        </w:tc>
        <w:tc>
          <w:tcPr>
            <w:tcW w:w="1575" w:type="dxa"/>
            <w:gridSpan w:val="2"/>
          </w:tcPr>
          <w:p>
            <w:pPr>
              <w:spacing w:line="360" w:lineRule="atLeast"/>
              <w:jc w:val="center"/>
            </w:pPr>
          </w:p>
        </w:tc>
        <w:tc>
          <w:tcPr>
            <w:tcW w:w="1470" w:type="dxa"/>
            <w:gridSpan w:val="2"/>
          </w:tcPr>
          <w:p>
            <w:pPr>
              <w:spacing w:line="360" w:lineRule="atLeast"/>
              <w:jc w:val="center"/>
            </w:pPr>
            <w:r>
              <w:rPr>
                <w:rFonts w:hint="eastAsia"/>
              </w:rPr>
              <w:t>授权代表</w:t>
            </w:r>
          </w:p>
        </w:tc>
        <w:tc>
          <w:tcPr>
            <w:tcW w:w="1680" w:type="dxa"/>
            <w:gridSpan w:val="3"/>
          </w:tcPr>
          <w:p>
            <w:pPr>
              <w:spacing w:line="360" w:lineRule="atLeast"/>
              <w:jc w:val="center"/>
            </w:pPr>
          </w:p>
        </w:tc>
        <w:tc>
          <w:tcPr>
            <w:tcW w:w="945" w:type="dxa"/>
          </w:tcPr>
          <w:p>
            <w:pPr>
              <w:spacing w:line="360" w:lineRule="atLeast"/>
              <w:jc w:val="center"/>
            </w:pPr>
            <w:r>
              <w:rPr>
                <w:rFonts w:hint="eastAsia"/>
              </w:rPr>
              <w:t>职务</w:t>
            </w:r>
          </w:p>
        </w:tc>
        <w:tc>
          <w:tcPr>
            <w:tcW w:w="2205" w:type="dxa"/>
            <w:gridSpan w:val="2"/>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400" w:hRule="atLeast"/>
        </w:trPr>
        <w:tc>
          <w:tcPr>
            <w:tcW w:w="1575" w:type="dxa"/>
          </w:tcPr>
          <w:p>
            <w:pPr>
              <w:spacing w:line="360" w:lineRule="atLeast"/>
              <w:jc w:val="center"/>
            </w:pPr>
            <w:r>
              <w:rPr>
                <w:rFonts w:hint="eastAsia"/>
              </w:rPr>
              <w:t>邮政编码</w:t>
            </w:r>
          </w:p>
        </w:tc>
        <w:tc>
          <w:tcPr>
            <w:tcW w:w="1575" w:type="dxa"/>
            <w:gridSpan w:val="2"/>
          </w:tcPr>
          <w:p>
            <w:pPr>
              <w:spacing w:line="360" w:lineRule="atLeast"/>
              <w:jc w:val="center"/>
            </w:pPr>
          </w:p>
        </w:tc>
        <w:tc>
          <w:tcPr>
            <w:tcW w:w="1470" w:type="dxa"/>
            <w:gridSpan w:val="2"/>
          </w:tcPr>
          <w:p>
            <w:pPr>
              <w:spacing w:line="360" w:lineRule="atLeast"/>
              <w:jc w:val="center"/>
            </w:pPr>
            <w:r>
              <w:rPr>
                <w:rFonts w:hint="eastAsia"/>
              </w:rPr>
              <w:t>电话</w:t>
            </w:r>
          </w:p>
        </w:tc>
        <w:tc>
          <w:tcPr>
            <w:tcW w:w="1680" w:type="dxa"/>
            <w:gridSpan w:val="3"/>
          </w:tcPr>
          <w:p>
            <w:pPr>
              <w:spacing w:line="360" w:lineRule="atLeast"/>
              <w:jc w:val="center"/>
            </w:pPr>
          </w:p>
        </w:tc>
        <w:tc>
          <w:tcPr>
            <w:tcW w:w="945" w:type="dxa"/>
          </w:tcPr>
          <w:p>
            <w:pPr>
              <w:spacing w:line="360" w:lineRule="atLeast"/>
              <w:jc w:val="center"/>
            </w:pPr>
            <w:r>
              <w:rPr>
                <w:rFonts w:hint="eastAsia"/>
              </w:rPr>
              <w:t>传真</w:t>
            </w:r>
          </w:p>
        </w:tc>
        <w:tc>
          <w:tcPr>
            <w:tcW w:w="2205" w:type="dxa"/>
            <w:gridSpan w:val="2"/>
          </w:tcPr>
          <w:p>
            <w:pPr>
              <w:spacing w:line="360" w:lineRule="atLeast"/>
              <w:jc w:val="cente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1233" w:hRule="atLeast"/>
        </w:trPr>
        <w:tc>
          <w:tcPr>
            <w:tcW w:w="1575" w:type="dxa"/>
          </w:tcPr>
          <w:p>
            <w:pPr>
              <w:spacing w:line="360" w:lineRule="atLeast"/>
              <w:jc w:val="center"/>
            </w:pPr>
          </w:p>
          <w:p>
            <w:pPr>
              <w:spacing w:line="360" w:lineRule="atLeast"/>
              <w:jc w:val="center"/>
            </w:pPr>
            <w:r>
              <w:rPr>
                <w:rFonts w:hint="eastAsia"/>
              </w:rPr>
              <w:t>单位简历</w:t>
            </w:r>
          </w:p>
          <w:p>
            <w:pPr>
              <w:spacing w:line="360" w:lineRule="atLeast"/>
              <w:jc w:val="center"/>
            </w:pPr>
            <w:r>
              <w:rPr>
                <w:rFonts w:hint="eastAsia"/>
              </w:rPr>
              <w:t>及机构</w:t>
            </w:r>
          </w:p>
        </w:tc>
        <w:tc>
          <w:tcPr>
            <w:tcW w:w="7875" w:type="dxa"/>
            <w:gridSpan w:val="10"/>
          </w:tcPr>
          <w:p>
            <w:pPr>
              <w:spacing w:line="360" w:lineRule="atLeas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843" w:hRule="atLeast"/>
        </w:trPr>
        <w:tc>
          <w:tcPr>
            <w:tcW w:w="1575" w:type="dxa"/>
            <w:tcBorders>
              <w:bottom w:val="nil"/>
            </w:tcBorders>
          </w:tcPr>
          <w:p>
            <w:pPr>
              <w:spacing w:line="360" w:lineRule="atLeast"/>
              <w:jc w:val="center"/>
            </w:pPr>
            <w:r>
              <w:rPr>
                <w:rFonts w:hint="eastAsia"/>
              </w:rPr>
              <w:t>单位优势</w:t>
            </w:r>
          </w:p>
          <w:p>
            <w:pPr>
              <w:spacing w:line="360" w:lineRule="atLeast"/>
              <w:jc w:val="center"/>
            </w:pPr>
            <w:r>
              <w:rPr>
                <w:rFonts w:hint="eastAsia"/>
              </w:rPr>
              <w:t>及特长</w:t>
            </w:r>
          </w:p>
        </w:tc>
        <w:tc>
          <w:tcPr>
            <w:tcW w:w="7875" w:type="dxa"/>
            <w:gridSpan w:val="10"/>
            <w:tcBorders>
              <w:bottom w:val="nil"/>
            </w:tcBorders>
          </w:tcPr>
          <w:p>
            <w:pPr>
              <w:spacing w:line="360" w:lineRule="atLeas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400" w:hRule="atLeast"/>
        </w:trPr>
        <w:tc>
          <w:tcPr>
            <w:tcW w:w="1575" w:type="dxa"/>
            <w:vMerge w:val="restart"/>
          </w:tcPr>
          <w:p>
            <w:pPr>
              <w:spacing w:line="360" w:lineRule="atLeast"/>
            </w:pPr>
          </w:p>
          <w:p>
            <w:pPr>
              <w:spacing w:line="360" w:lineRule="atLeast"/>
            </w:pPr>
            <w:r>
              <w:rPr>
                <w:rFonts w:hint="eastAsia"/>
              </w:rPr>
              <w:t>单</w:t>
            </w:r>
          </w:p>
          <w:p>
            <w:pPr>
              <w:spacing w:line="360" w:lineRule="atLeast"/>
            </w:pPr>
            <w:r>
              <w:rPr>
                <w:rFonts w:hint="eastAsia"/>
              </w:rPr>
              <w:t>位</w:t>
            </w:r>
          </w:p>
          <w:p>
            <w:pPr>
              <w:spacing w:line="360" w:lineRule="atLeast"/>
            </w:pPr>
            <w:r>
              <w:rPr>
                <w:rFonts w:hint="eastAsia"/>
              </w:rPr>
              <w:t>概</w:t>
            </w:r>
          </w:p>
          <w:p>
            <w:pPr>
              <w:spacing w:line="360" w:lineRule="atLeast"/>
            </w:pPr>
            <w:r>
              <w:rPr>
                <w:rFonts w:hint="eastAsia"/>
              </w:rPr>
              <w:t>况</w:t>
            </w:r>
          </w:p>
        </w:tc>
        <w:tc>
          <w:tcPr>
            <w:tcW w:w="945" w:type="dxa"/>
            <w:vMerge w:val="restart"/>
          </w:tcPr>
          <w:p>
            <w:pPr>
              <w:spacing w:line="360" w:lineRule="atLeast"/>
              <w:jc w:val="center"/>
            </w:pPr>
            <w:r>
              <w:rPr>
                <w:rFonts w:hint="eastAsia"/>
              </w:rPr>
              <w:t>职工</w:t>
            </w:r>
          </w:p>
          <w:p>
            <w:pPr>
              <w:spacing w:line="360" w:lineRule="atLeast"/>
              <w:jc w:val="center"/>
            </w:pPr>
            <w:r>
              <w:rPr>
                <w:rFonts w:hint="eastAsia"/>
              </w:rPr>
              <w:t>总数</w:t>
            </w:r>
          </w:p>
        </w:tc>
        <w:tc>
          <w:tcPr>
            <w:tcW w:w="2415" w:type="dxa"/>
            <w:gridSpan w:val="4"/>
            <w:vMerge w:val="restart"/>
          </w:tcPr>
          <w:p>
            <w:pPr>
              <w:spacing w:line="360" w:lineRule="atLeast"/>
              <w:jc w:val="right"/>
            </w:pPr>
            <w:r>
              <w:rPr>
                <w:rFonts w:hint="eastAsia"/>
              </w:rPr>
              <w:t>人</w:t>
            </w:r>
          </w:p>
        </w:tc>
        <w:tc>
          <w:tcPr>
            <w:tcW w:w="4515" w:type="dxa"/>
            <w:gridSpan w:val="5"/>
          </w:tcPr>
          <w:p>
            <w:pPr>
              <w:spacing w:line="360" w:lineRule="atLeast"/>
            </w:pPr>
            <w:r>
              <w:rPr>
                <w:rFonts w:hint="eastAsia"/>
              </w:rPr>
              <w:t>生产工人（如有）人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pPr>
              <w:spacing w:line="360" w:lineRule="atLeast"/>
            </w:pPr>
          </w:p>
        </w:tc>
        <w:tc>
          <w:tcPr>
            <w:tcW w:w="945" w:type="dxa"/>
            <w:vMerge w:val="continue"/>
          </w:tcPr>
          <w:p>
            <w:pPr>
              <w:spacing w:line="360" w:lineRule="atLeast"/>
              <w:jc w:val="center"/>
            </w:pPr>
          </w:p>
        </w:tc>
        <w:tc>
          <w:tcPr>
            <w:tcW w:w="2415" w:type="dxa"/>
            <w:gridSpan w:val="4"/>
            <w:vMerge w:val="continue"/>
          </w:tcPr>
          <w:p>
            <w:pPr>
              <w:spacing w:line="360" w:lineRule="atLeast"/>
            </w:pPr>
          </w:p>
        </w:tc>
        <w:tc>
          <w:tcPr>
            <w:tcW w:w="4515" w:type="dxa"/>
            <w:gridSpan w:val="5"/>
          </w:tcPr>
          <w:p>
            <w:pPr>
              <w:spacing w:line="360" w:lineRule="atLeast"/>
            </w:pPr>
            <w:r>
              <w:rPr>
                <w:rFonts w:hint="eastAsia"/>
              </w:rPr>
              <w:t>技术人员（如有）人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trPr>
        <w:tc>
          <w:tcPr>
            <w:tcW w:w="1575" w:type="dxa"/>
            <w:vMerge w:val="continue"/>
          </w:tcPr>
          <w:p>
            <w:pPr>
              <w:spacing w:line="360" w:lineRule="atLeast"/>
            </w:pPr>
          </w:p>
        </w:tc>
        <w:tc>
          <w:tcPr>
            <w:tcW w:w="945" w:type="dxa"/>
            <w:vMerge w:val="restart"/>
          </w:tcPr>
          <w:p>
            <w:pPr>
              <w:spacing w:line="360" w:lineRule="atLeast"/>
              <w:jc w:val="center"/>
            </w:pPr>
            <w:r>
              <w:rPr>
                <w:rFonts w:hint="eastAsia"/>
              </w:rPr>
              <w:t>流动</w:t>
            </w:r>
          </w:p>
          <w:p>
            <w:pPr>
              <w:spacing w:line="360" w:lineRule="atLeast"/>
              <w:jc w:val="center"/>
            </w:pPr>
            <w:r>
              <w:rPr>
                <w:rFonts w:hint="eastAsia"/>
              </w:rPr>
              <w:t>资金</w:t>
            </w:r>
          </w:p>
        </w:tc>
        <w:tc>
          <w:tcPr>
            <w:tcW w:w="2415" w:type="dxa"/>
            <w:gridSpan w:val="4"/>
            <w:vMerge w:val="restart"/>
          </w:tcPr>
          <w:p>
            <w:pPr>
              <w:spacing w:line="360" w:lineRule="atLeast"/>
              <w:jc w:val="right"/>
            </w:pPr>
            <w:r>
              <w:rPr>
                <w:rFonts w:hint="eastAsia"/>
              </w:rPr>
              <w:t>万元</w:t>
            </w:r>
          </w:p>
        </w:tc>
        <w:tc>
          <w:tcPr>
            <w:tcW w:w="840" w:type="dxa"/>
            <w:vMerge w:val="restart"/>
          </w:tcPr>
          <w:p>
            <w:pPr>
              <w:spacing w:line="360" w:lineRule="atLeast"/>
            </w:pPr>
            <w:r>
              <w:rPr>
                <w:rFonts w:hint="eastAsia"/>
              </w:rPr>
              <w:t>资金</w:t>
            </w:r>
          </w:p>
          <w:p>
            <w:pPr>
              <w:spacing w:line="360" w:lineRule="atLeast"/>
            </w:pPr>
            <w:r>
              <w:rPr>
                <w:rFonts w:hint="eastAsia"/>
              </w:rPr>
              <w:t>来源</w:t>
            </w:r>
          </w:p>
        </w:tc>
        <w:tc>
          <w:tcPr>
            <w:tcW w:w="1575" w:type="dxa"/>
            <w:gridSpan w:val="3"/>
          </w:tcPr>
          <w:p>
            <w:pPr>
              <w:spacing w:line="360" w:lineRule="atLeast"/>
            </w:pPr>
            <w:r>
              <w:rPr>
                <w:rFonts w:hint="eastAsia"/>
              </w:rPr>
              <w:t>自有资金</w:t>
            </w:r>
          </w:p>
        </w:tc>
        <w:tc>
          <w:tcPr>
            <w:tcW w:w="2100" w:type="dxa"/>
          </w:tcPr>
          <w:p>
            <w:pPr>
              <w:spacing w:line="360" w:lineRule="atLeast"/>
              <w:jc w:val="right"/>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pPr>
              <w:spacing w:line="360" w:lineRule="atLeast"/>
            </w:pPr>
          </w:p>
        </w:tc>
        <w:tc>
          <w:tcPr>
            <w:tcW w:w="945" w:type="dxa"/>
            <w:vMerge w:val="continue"/>
            <w:tcBorders>
              <w:bottom w:val="nil"/>
            </w:tcBorders>
          </w:tcPr>
          <w:p>
            <w:pPr>
              <w:spacing w:line="360" w:lineRule="atLeast"/>
              <w:jc w:val="center"/>
            </w:pPr>
          </w:p>
        </w:tc>
        <w:tc>
          <w:tcPr>
            <w:tcW w:w="2415" w:type="dxa"/>
            <w:gridSpan w:val="4"/>
            <w:vMerge w:val="continue"/>
            <w:tcBorders>
              <w:bottom w:val="nil"/>
            </w:tcBorders>
          </w:tcPr>
          <w:p>
            <w:pPr>
              <w:spacing w:line="360" w:lineRule="atLeast"/>
            </w:pPr>
          </w:p>
        </w:tc>
        <w:tc>
          <w:tcPr>
            <w:tcW w:w="840" w:type="dxa"/>
            <w:vMerge w:val="continue"/>
            <w:tcBorders>
              <w:bottom w:val="nil"/>
            </w:tcBorders>
          </w:tcPr>
          <w:p>
            <w:pPr>
              <w:spacing w:line="360" w:lineRule="atLeast"/>
            </w:pPr>
          </w:p>
        </w:tc>
        <w:tc>
          <w:tcPr>
            <w:tcW w:w="1575" w:type="dxa"/>
            <w:gridSpan w:val="3"/>
            <w:tcBorders>
              <w:bottom w:val="nil"/>
            </w:tcBorders>
          </w:tcPr>
          <w:p>
            <w:pPr>
              <w:spacing w:line="360" w:lineRule="atLeast"/>
            </w:pPr>
            <w:r>
              <w:rPr>
                <w:rFonts w:hint="eastAsia"/>
              </w:rPr>
              <w:t>银行贷款</w:t>
            </w:r>
          </w:p>
        </w:tc>
        <w:tc>
          <w:tcPr>
            <w:tcW w:w="2100" w:type="dxa"/>
            <w:tcBorders>
              <w:bottom w:val="nil"/>
            </w:tcBorders>
          </w:tcPr>
          <w:p>
            <w:pPr>
              <w:spacing w:line="360" w:lineRule="atLeast"/>
              <w:jc w:val="right"/>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Pr>
          <w:p>
            <w:pPr>
              <w:spacing w:line="360" w:lineRule="atLeast"/>
            </w:pPr>
          </w:p>
        </w:tc>
        <w:tc>
          <w:tcPr>
            <w:tcW w:w="945" w:type="dxa"/>
            <w:vMerge w:val="restart"/>
          </w:tcPr>
          <w:p>
            <w:pPr>
              <w:spacing w:line="360" w:lineRule="atLeast"/>
              <w:jc w:val="center"/>
            </w:pPr>
            <w:r>
              <w:rPr>
                <w:rFonts w:hint="eastAsia"/>
              </w:rPr>
              <w:t>固定</w:t>
            </w:r>
          </w:p>
          <w:p>
            <w:pPr>
              <w:spacing w:line="360" w:lineRule="atLeast"/>
              <w:jc w:val="center"/>
            </w:pPr>
            <w:r>
              <w:rPr>
                <w:rFonts w:hint="eastAsia"/>
              </w:rPr>
              <w:t>资产</w:t>
            </w:r>
          </w:p>
        </w:tc>
        <w:tc>
          <w:tcPr>
            <w:tcW w:w="2415" w:type="dxa"/>
            <w:gridSpan w:val="4"/>
          </w:tcPr>
          <w:p>
            <w:pPr>
              <w:spacing w:line="360" w:lineRule="atLeast"/>
            </w:pPr>
            <w:r>
              <w:rPr>
                <w:rFonts w:hint="eastAsia"/>
              </w:rPr>
              <w:t>原值万元</w:t>
            </w:r>
          </w:p>
        </w:tc>
        <w:tc>
          <w:tcPr>
            <w:tcW w:w="840" w:type="dxa"/>
            <w:vMerge w:val="restart"/>
          </w:tcPr>
          <w:p>
            <w:pPr>
              <w:spacing w:line="360" w:lineRule="atLeast"/>
            </w:pPr>
            <w:r>
              <w:rPr>
                <w:rFonts w:hint="eastAsia"/>
              </w:rPr>
              <w:t>资金</w:t>
            </w:r>
          </w:p>
          <w:p>
            <w:pPr>
              <w:spacing w:line="360" w:lineRule="atLeast"/>
            </w:pPr>
            <w:r>
              <w:rPr>
                <w:rFonts w:hint="eastAsia"/>
              </w:rPr>
              <w:t>性质</w:t>
            </w:r>
          </w:p>
        </w:tc>
        <w:tc>
          <w:tcPr>
            <w:tcW w:w="1575" w:type="dxa"/>
            <w:gridSpan w:val="3"/>
          </w:tcPr>
          <w:p>
            <w:pPr>
              <w:spacing w:line="360" w:lineRule="atLeast"/>
            </w:pPr>
            <w:r>
              <w:rPr>
                <w:rFonts w:hint="eastAsia"/>
              </w:rPr>
              <w:t>生产性</w:t>
            </w:r>
          </w:p>
        </w:tc>
        <w:tc>
          <w:tcPr>
            <w:tcW w:w="2100" w:type="dxa"/>
          </w:tcPr>
          <w:p>
            <w:pPr>
              <w:spacing w:line="360" w:lineRule="atLeast"/>
              <w:jc w:val="right"/>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8" w:hRule="atLeast"/>
        </w:trPr>
        <w:tc>
          <w:tcPr>
            <w:tcW w:w="1575" w:type="dxa"/>
            <w:vMerge w:val="continue"/>
          </w:tcPr>
          <w:p>
            <w:pPr>
              <w:spacing w:line="360" w:lineRule="atLeast"/>
            </w:pPr>
          </w:p>
        </w:tc>
        <w:tc>
          <w:tcPr>
            <w:tcW w:w="945" w:type="dxa"/>
            <w:vMerge w:val="continue"/>
            <w:tcBorders>
              <w:bottom w:val="nil"/>
            </w:tcBorders>
          </w:tcPr>
          <w:p>
            <w:pPr>
              <w:spacing w:line="360" w:lineRule="atLeast"/>
              <w:jc w:val="center"/>
            </w:pPr>
          </w:p>
        </w:tc>
        <w:tc>
          <w:tcPr>
            <w:tcW w:w="2415" w:type="dxa"/>
            <w:gridSpan w:val="4"/>
            <w:tcBorders>
              <w:bottom w:val="nil"/>
            </w:tcBorders>
          </w:tcPr>
          <w:p>
            <w:pPr>
              <w:spacing w:line="360" w:lineRule="atLeast"/>
            </w:pPr>
            <w:r>
              <w:rPr>
                <w:rFonts w:hint="eastAsia"/>
              </w:rPr>
              <w:t>净值万元</w:t>
            </w:r>
          </w:p>
        </w:tc>
        <w:tc>
          <w:tcPr>
            <w:tcW w:w="840" w:type="dxa"/>
            <w:vMerge w:val="continue"/>
            <w:tcBorders>
              <w:bottom w:val="nil"/>
            </w:tcBorders>
          </w:tcPr>
          <w:p>
            <w:pPr>
              <w:spacing w:line="360" w:lineRule="atLeast"/>
            </w:pPr>
          </w:p>
        </w:tc>
        <w:tc>
          <w:tcPr>
            <w:tcW w:w="1575" w:type="dxa"/>
            <w:gridSpan w:val="3"/>
            <w:tcBorders>
              <w:bottom w:val="nil"/>
            </w:tcBorders>
          </w:tcPr>
          <w:p>
            <w:pPr>
              <w:spacing w:line="360" w:lineRule="atLeast"/>
            </w:pPr>
            <w:r>
              <w:rPr>
                <w:rFonts w:hint="eastAsia"/>
              </w:rPr>
              <w:t>非生产性</w:t>
            </w:r>
          </w:p>
        </w:tc>
        <w:tc>
          <w:tcPr>
            <w:tcW w:w="2100" w:type="dxa"/>
            <w:tcBorders>
              <w:bottom w:val="nil"/>
            </w:tcBorders>
          </w:tcPr>
          <w:p>
            <w:pPr>
              <w:spacing w:line="360" w:lineRule="atLeast"/>
              <w:jc w:val="right"/>
            </w:pPr>
            <w:r>
              <w:rPr>
                <w:rFonts w:hint="eastAsia"/>
              </w:rPr>
              <w:t>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restart"/>
            <w:tcBorders>
              <w:top w:val="nil"/>
              <w:bottom w:val="nil"/>
              <w:right w:val="nil"/>
            </w:tcBorders>
          </w:tcPr>
          <w:p>
            <w:pPr>
              <w:pBdr>
                <w:top w:val="single" w:color="auto" w:sz="6" w:space="1"/>
              </w:pBdr>
              <w:spacing w:line="360" w:lineRule="atLeast"/>
              <w:jc w:val="center"/>
            </w:pPr>
          </w:p>
          <w:p>
            <w:pPr>
              <w:pBdr>
                <w:top w:val="single" w:color="auto" w:sz="6" w:space="1"/>
              </w:pBdr>
              <w:spacing w:line="360" w:lineRule="atLeast"/>
              <w:jc w:val="center"/>
            </w:pPr>
            <w:r>
              <w:rPr>
                <w:rFonts w:hint="eastAsia"/>
              </w:rPr>
              <w:t xml:space="preserve">企业财    </w:t>
            </w:r>
          </w:p>
          <w:p>
            <w:pPr>
              <w:pBdr>
                <w:top w:val="single" w:color="auto" w:sz="6" w:space="1"/>
              </w:pBdr>
              <w:spacing w:line="360" w:lineRule="atLeast"/>
              <w:jc w:val="center"/>
            </w:pPr>
            <w:r>
              <w:rPr>
                <w:rFonts w:hint="eastAsia"/>
              </w:rPr>
              <w:t>务状况</w:t>
            </w:r>
          </w:p>
        </w:tc>
        <w:tc>
          <w:tcPr>
            <w:tcW w:w="945" w:type="dxa"/>
            <w:tcBorders>
              <w:left w:val="single" w:color="000000" w:sz="6" w:space="0"/>
              <w:bottom w:val="single" w:color="000000" w:sz="6" w:space="0"/>
            </w:tcBorders>
          </w:tcPr>
          <w:p>
            <w:pPr>
              <w:spacing w:line="360" w:lineRule="atLeast"/>
              <w:jc w:val="center"/>
            </w:pPr>
          </w:p>
        </w:tc>
        <w:tc>
          <w:tcPr>
            <w:tcW w:w="1155" w:type="dxa"/>
            <w:gridSpan w:val="2"/>
          </w:tcPr>
          <w:p>
            <w:pPr>
              <w:spacing w:line="360" w:lineRule="atLeast"/>
              <w:jc w:val="center"/>
            </w:pPr>
            <w:r>
              <w:rPr>
                <w:rFonts w:hint="eastAsia"/>
              </w:rPr>
              <w:t>收入总额</w:t>
            </w:r>
          </w:p>
        </w:tc>
        <w:tc>
          <w:tcPr>
            <w:tcW w:w="2100" w:type="dxa"/>
            <w:gridSpan w:val="3"/>
          </w:tcPr>
          <w:p>
            <w:pPr>
              <w:spacing w:line="360" w:lineRule="atLeast"/>
              <w:jc w:val="center"/>
            </w:pPr>
            <w:r>
              <w:rPr>
                <w:rFonts w:hint="eastAsia"/>
              </w:rPr>
              <w:t>利润总额</w:t>
            </w:r>
          </w:p>
        </w:tc>
        <w:tc>
          <w:tcPr>
            <w:tcW w:w="1575" w:type="dxa"/>
            <w:gridSpan w:val="3"/>
          </w:tcPr>
          <w:p>
            <w:pPr>
              <w:spacing w:line="360" w:lineRule="atLeast"/>
              <w:jc w:val="center"/>
            </w:pPr>
            <w:r>
              <w:rPr>
                <w:rFonts w:hint="eastAsia"/>
              </w:rPr>
              <w:t>税后利润</w:t>
            </w:r>
          </w:p>
        </w:tc>
        <w:tc>
          <w:tcPr>
            <w:tcW w:w="2100" w:type="dxa"/>
          </w:tcPr>
          <w:p>
            <w:pPr>
              <w:spacing w:line="360" w:lineRule="atLeast"/>
              <w:jc w:val="center"/>
            </w:pPr>
            <w:r>
              <w:rPr>
                <w:rFonts w:hint="eastAsia"/>
              </w:rPr>
              <w:t>负债总额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right w:val="nil"/>
            </w:tcBorders>
          </w:tcPr>
          <w:p>
            <w:pPr>
              <w:spacing w:line="360" w:lineRule="atLeast"/>
            </w:pPr>
          </w:p>
        </w:tc>
        <w:tc>
          <w:tcPr>
            <w:tcW w:w="945" w:type="dxa"/>
            <w:tcBorders>
              <w:top w:val="single" w:color="000000" w:sz="6" w:space="0"/>
              <w:left w:val="single" w:color="000000" w:sz="6" w:space="0"/>
            </w:tcBorders>
          </w:tcPr>
          <w:p>
            <w:pPr>
              <w:spacing w:line="360" w:lineRule="atLeast"/>
              <w:jc w:val="center"/>
            </w:pPr>
            <w:r>
              <w:rPr>
                <w:rFonts w:hint="eastAsia"/>
              </w:rPr>
              <w:t>2019年</w:t>
            </w:r>
          </w:p>
        </w:tc>
        <w:tc>
          <w:tcPr>
            <w:tcW w:w="1155" w:type="dxa"/>
            <w:gridSpan w:val="2"/>
          </w:tcPr>
          <w:p>
            <w:pPr>
              <w:spacing w:line="360" w:lineRule="atLeast"/>
            </w:pPr>
          </w:p>
        </w:tc>
        <w:tc>
          <w:tcPr>
            <w:tcW w:w="2100" w:type="dxa"/>
            <w:gridSpan w:val="3"/>
          </w:tcPr>
          <w:p>
            <w:pPr>
              <w:spacing w:line="360" w:lineRule="atLeast"/>
            </w:pPr>
          </w:p>
        </w:tc>
        <w:tc>
          <w:tcPr>
            <w:tcW w:w="1575" w:type="dxa"/>
            <w:gridSpan w:val="3"/>
          </w:tcPr>
          <w:p>
            <w:pPr>
              <w:spacing w:line="360" w:lineRule="atLeast"/>
            </w:pPr>
          </w:p>
        </w:tc>
        <w:tc>
          <w:tcPr>
            <w:tcW w:w="2100" w:type="dxa"/>
          </w:tcPr>
          <w:p>
            <w:pPr>
              <w:spacing w:line="360" w:lineRule="atLeas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nil"/>
            </w:tcBorders>
          </w:tcPr>
          <w:p>
            <w:pPr>
              <w:spacing w:line="360" w:lineRule="atLeast"/>
            </w:pPr>
          </w:p>
        </w:tc>
        <w:tc>
          <w:tcPr>
            <w:tcW w:w="945" w:type="dxa"/>
            <w:tcBorders>
              <w:bottom w:val="single" w:color="000000" w:sz="6" w:space="0"/>
            </w:tcBorders>
          </w:tcPr>
          <w:p>
            <w:pPr>
              <w:spacing w:line="360" w:lineRule="atLeast"/>
              <w:jc w:val="center"/>
            </w:pPr>
            <w:r>
              <w:rPr>
                <w:rFonts w:hint="eastAsia"/>
              </w:rPr>
              <w:t>2020年</w:t>
            </w:r>
          </w:p>
        </w:tc>
        <w:tc>
          <w:tcPr>
            <w:tcW w:w="1155" w:type="dxa"/>
            <w:gridSpan w:val="2"/>
            <w:tcBorders>
              <w:bottom w:val="single" w:color="000000" w:sz="6" w:space="0"/>
            </w:tcBorders>
          </w:tcPr>
          <w:p>
            <w:pPr>
              <w:spacing w:line="360" w:lineRule="atLeast"/>
            </w:pPr>
          </w:p>
        </w:tc>
        <w:tc>
          <w:tcPr>
            <w:tcW w:w="2100" w:type="dxa"/>
            <w:gridSpan w:val="3"/>
            <w:tcBorders>
              <w:bottom w:val="single" w:color="000000" w:sz="6" w:space="0"/>
            </w:tcBorders>
          </w:tcPr>
          <w:p>
            <w:pPr>
              <w:spacing w:line="360" w:lineRule="atLeast"/>
            </w:pPr>
          </w:p>
        </w:tc>
        <w:tc>
          <w:tcPr>
            <w:tcW w:w="1575" w:type="dxa"/>
            <w:gridSpan w:val="3"/>
            <w:tcBorders>
              <w:bottom w:val="single" w:color="000000" w:sz="6" w:space="0"/>
            </w:tcBorders>
          </w:tcPr>
          <w:p>
            <w:pPr>
              <w:spacing w:line="360" w:lineRule="atLeast"/>
            </w:pPr>
          </w:p>
        </w:tc>
        <w:tc>
          <w:tcPr>
            <w:tcW w:w="2100" w:type="dxa"/>
            <w:tcBorders>
              <w:bottom w:val="single" w:color="000000" w:sz="6" w:space="0"/>
            </w:tcBorders>
          </w:tcPr>
          <w:p>
            <w:pPr>
              <w:spacing w:line="360" w:lineRule="atLeast"/>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00" w:hRule="atLeast"/>
        </w:trPr>
        <w:tc>
          <w:tcPr>
            <w:tcW w:w="1575" w:type="dxa"/>
            <w:vMerge w:val="continue"/>
            <w:tcBorders>
              <w:top w:val="nil"/>
              <w:bottom w:val="single" w:color="000000" w:sz="6" w:space="0"/>
            </w:tcBorders>
          </w:tcPr>
          <w:p>
            <w:pPr>
              <w:spacing w:line="360" w:lineRule="atLeast"/>
            </w:pPr>
          </w:p>
        </w:tc>
        <w:tc>
          <w:tcPr>
            <w:tcW w:w="945" w:type="dxa"/>
            <w:tcBorders>
              <w:bottom w:val="single" w:color="000000" w:sz="6" w:space="0"/>
            </w:tcBorders>
          </w:tcPr>
          <w:p>
            <w:pPr>
              <w:spacing w:line="360" w:lineRule="atLeast"/>
              <w:jc w:val="center"/>
            </w:pPr>
            <w:r>
              <w:rPr>
                <w:rFonts w:hint="eastAsia"/>
              </w:rPr>
              <w:t>20</w:t>
            </w:r>
            <w:r>
              <w:t>2</w:t>
            </w:r>
            <w:r>
              <w:rPr>
                <w:rFonts w:hint="eastAsia"/>
              </w:rPr>
              <w:t>1年</w:t>
            </w:r>
          </w:p>
        </w:tc>
        <w:tc>
          <w:tcPr>
            <w:tcW w:w="1155" w:type="dxa"/>
            <w:gridSpan w:val="2"/>
            <w:tcBorders>
              <w:bottom w:val="single" w:color="000000" w:sz="6" w:space="0"/>
            </w:tcBorders>
          </w:tcPr>
          <w:p>
            <w:pPr>
              <w:spacing w:line="360" w:lineRule="atLeast"/>
            </w:pPr>
          </w:p>
        </w:tc>
        <w:tc>
          <w:tcPr>
            <w:tcW w:w="2100" w:type="dxa"/>
            <w:gridSpan w:val="3"/>
            <w:tcBorders>
              <w:bottom w:val="single" w:color="000000" w:sz="6" w:space="0"/>
            </w:tcBorders>
          </w:tcPr>
          <w:p>
            <w:pPr>
              <w:spacing w:line="360" w:lineRule="atLeast"/>
            </w:pPr>
          </w:p>
        </w:tc>
        <w:tc>
          <w:tcPr>
            <w:tcW w:w="1575" w:type="dxa"/>
            <w:gridSpan w:val="3"/>
            <w:tcBorders>
              <w:bottom w:val="single" w:color="000000" w:sz="6" w:space="0"/>
            </w:tcBorders>
          </w:tcPr>
          <w:p>
            <w:pPr>
              <w:spacing w:line="360" w:lineRule="atLeast"/>
            </w:pPr>
          </w:p>
        </w:tc>
        <w:tc>
          <w:tcPr>
            <w:tcW w:w="2100" w:type="dxa"/>
            <w:tcBorders>
              <w:bottom w:val="single" w:color="000000" w:sz="6" w:space="0"/>
            </w:tcBorders>
          </w:tcPr>
          <w:p>
            <w:pPr>
              <w:spacing w:line="360" w:lineRule="atLeast"/>
            </w:pPr>
          </w:p>
        </w:tc>
      </w:tr>
    </w:tbl>
    <w:p>
      <w:pPr>
        <w:pStyle w:val="38"/>
        <w:ind w:firstLine="420"/>
        <w:rPr>
          <w:rFonts w:hint="default"/>
        </w:rPr>
      </w:pPr>
    </w:p>
    <w:p>
      <w:pPr>
        <w:spacing w:line="600" w:lineRule="exact"/>
        <w:jc w:val="left"/>
        <w:rPr>
          <w:sz w:val="24"/>
        </w:rPr>
      </w:pPr>
    </w:p>
    <w:p>
      <w:pPr>
        <w:spacing w:line="600" w:lineRule="exact"/>
        <w:jc w:val="left"/>
        <w:rPr>
          <w:rFonts w:ascii="宋体"/>
          <w:sz w:val="24"/>
        </w:rPr>
      </w:pPr>
    </w:p>
    <w:p>
      <w:pPr>
        <w:spacing w:line="600" w:lineRule="exact"/>
        <w:jc w:val="left"/>
        <w:rPr>
          <w:rFonts w:ascii="宋体"/>
          <w:b/>
          <w:sz w:val="28"/>
          <w:szCs w:val="28"/>
        </w:rPr>
      </w:pPr>
    </w:p>
    <w:p>
      <w:pPr>
        <w:spacing w:line="600" w:lineRule="exact"/>
        <w:jc w:val="left"/>
        <w:rPr>
          <w:rFonts w:ascii="宋体"/>
          <w:sz w:val="24"/>
        </w:rPr>
      </w:pPr>
      <w:r>
        <w:rPr>
          <w:rFonts w:ascii="宋体"/>
          <w:sz w:val="24"/>
        </w:rPr>
        <w:br w:type="page"/>
      </w:r>
      <w:r>
        <w:rPr>
          <w:rFonts w:hint="eastAsia" w:ascii="宋体"/>
          <w:sz w:val="24"/>
        </w:rPr>
        <w:t xml:space="preserve">附件七 </w:t>
      </w:r>
    </w:p>
    <w:p>
      <w:pPr>
        <w:spacing w:line="600" w:lineRule="exact"/>
        <w:jc w:val="center"/>
        <w:rPr>
          <w:rFonts w:ascii="宋体"/>
          <w:b/>
          <w:spacing w:val="-6"/>
          <w:sz w:val="28"/>
          <w:szCs w:val="28"/>
        </w:rPr>
      </w:pPr>
      <w:r>
        <w:rPr>
          <w:rFonts w:hint="eastAsia" w:ascii="宋体"/>
          <w:b/>
          <w:spacing w:val="-6"/>
          <w:sz w:val="28"/>
          <w:szCs w:val="28"/>
        </w:rPr>
        <w:t>项目服务人员情况表</w:t>
      </w:r>
    </w:p>
    <w:p>
      <w:pPr>
        <w:spacing w:afterLines="100"/>
        <w:jc w:val="center"/>
        <w:rPr>
          <w:rFonts w:ascii="宋体" w:hAnsi="宋体"/>
          <w:b/>
          <w:sz w:val="32"/>
        </w:rPr>
      </w:pP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992"/>
        <w:gridCol w:w="1276"/>
        <w:gridCol w:w="1842"/>
        <w:gridCol w:w="2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pPr>
              <w:snapToGrid w:val="0"/>
              <w:spacing w:line="240" w:lineRule="auto"/>
              <w:jc w:val="center"/>
              <w:rPr>
                <w:rFonts w:ascii="宋体" w:hAnsi="宋体"/>
                <w:b/>
              </w:rPr>
            </w:pPr>
            <w:r>
              <w:rPr>
                <w:rFonts w:ascii="宋体" w:hAnsi="宋体"/>
                <w:b/>
              </w:rPr>
              <w:t>姓名</w:t>
            </w:r>
          </w:p>
        </w:tc>
        <w:tc>
          <w:tcPr>
            <w:tcW w:w="992" w:type="dxa"/>
            <w:vAlign w:val="center"/>
          </w:tcPr>
          <w:p>
            <w:pPr>
              <w:snapToGrid w:val="0"/>
              <w:spacing w:line="240" w:lineRule="auto"/>
              <w:jc w:val="center"/>
              <w:rPr>
                <w:rFonts w:ascii="宋体" w:hAnsi="宋体"/>
                <w:b/>
              </w:rPr>
            </w:pPr>
            <w:r>
              <w:rPr>
                <w:rFonts w:hint="eastAsia" w:ascii="宋体" w:hAnsi="宋体"/>
                <w:b/>
              </w:rPr>
              <w:t>部门</w:t>
            </w:r>
          </w:p>
        </w:tc>
        <w:tc>
          <w:tcPr>
            <w:tcW w:w="1276" w:type="dxa"/>
            <w:vAlign w:val="center"/>
          </w:tcPr>
          <w:p>
            <w:pPr>
              <w:snapToGrid w:val="0"/>
              <w:spacing w:line="240" w:lineRule="auto"/>
              <w:jc w:val="center"/>
              <w:rPr>
                <w:rFonts w:ascii="宋体" w:hAnsi="宋体"/>
                <w:b/>
              </w:rPr>
            </w:pPr>
            <w:r>
              <w:rPr>
                <w:rFonts w:hint="eastAsia" w:ascii="宋体" w:hAnsi="宋体"/>
                <w:b/>
              </w:rPr>
              <w:t>职务/</w:t>
            </w:r>
            <w:r>
              <w:rPr>
                <w:rFonts w:ascii="宋体" w:hAnsi="宋体"/>
                <w:b/>
              </w:rPr>
              <w:t>职称</w:t>
            </w:r>
          </w:p>
        </w:tc>
        <w:tc>
          <w:tcPr>
            <w:tcW w:w="1842" w:type="dxa"/>
            <w:vAlign w:val="center"/>
          </w:tcPr>
          <w:p>
            <w:pPr>
              <w:snapToGrid w:val="0"/>
              <w:spacing w:line="240" w:lineRule="auto"/>
              <w:jc w:val="center"/>
              <w:rPr>
                <w:rFonts w:ascii="宋体" w:hAnsi="宋体"/>
                <w:b/>
              </w:rPr>
            </w:pPr>
            <w:r>
              <w:rPr>
                <w:rFonts w:hint="eastAsia" w:ascii="宋体" w:hAnsi="宋体"/>
                <w:b/>
              </w:rPr>
              <w:t>本项目中拟任职</w:t>
            </w:r>
          </w:p>
        </w:tc>
        <w:tc>
          <w:tcPr>
            <w:tcW w:w="2880" w:type="dxa"/>
            <w:vAlign w:val="center"/>
          </w:tcPr>
          <w:p>
            <w:pPr>
              <w:snapToGrid w:val="0"/>
              <w:spacing w:line="240" w:lineRule="auto"/>
              <w:jc w:val="center"/>
              <w:rPr>
                <w:rFonts w:ascii="宋体" w:hAnsi="宋体"/>
                <w:b/>
              </w:rPr>
            </w:pPr>
            <w:r>
              <w:rPr>
                <w:rFonts w:hint="eastAsia" w:ascii="宋体" w:hAnsi="宋体"/>
                <w:b/>
              </w:rPr>
              <w:t>人员情况简介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560" w:type="dxa"/>
            <w:vAlign w:val="center"/>
          </w:tcPr>
          <w:p>
            <w:pPr>
              <w:rPr>
                <w:rFonts w:ascii="宋体" w:hAnsi="宋体"/>
              </w:rPr>
            </w:pPr>
          </w:p>
        </w:tc>
        <w:tc>
          <w:tcPr>
            <w:tcW w:w="992" w:type="dxa"/>
            <w:vAlign w:val="center"/>
          </w:tcPr>
          <w:p>
            <w:pPr>
              <w:rPr>
                <w:rFonts w:ascii="宋体" w:hAnsi="宋体"/>
              </w:rPr>
            </w:pPr>
          </w:p>
        </w:tc>
        <w:tc>
          <w:tcPr>
            <w:tcW w:w="1276" w:type="dxa"/>
            <w:vAlign w:val="center"/>
          </w:tcPr>
          <w:p>
            <w:pPr>
              <w:rPr>
                <w:rFonts w:ascii="宋体" w:hAnsi="宋体"/>
              </w:rPr>
            </w:pPr>
          </w:p>
        </w:tc>
        <w:tc>
          <w:tcPr>
            <w:tcW w:w="1842" w:type="dxa"/>
            <w:vAlign w:val="center"/>
          </w:tcPr>
          <w:p>
            <w:pPr>
              <w:rPr>
                <w:rFonts w:ascii="宋体" w:hAnsi="宋体"/>
              </w:rPr>
            </w:pPr>
          </w:p>
        </w:tc>
        <w:tc>
          <w:tcPr>
            <w:tcW w:w="2880" w:type="dxa"/>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tcBorders>
              <w:bottom w:val="single" w:color="auto" w:sz="4" w:space="0"/>
            </w:tcBorders>
            <w:vAlign w:val="center"/>
          </w:tcPr>
          <w:p>
            <w:pPr>
              <w:rPr>
                <w:rFonts w:ascii="宋体" w:hAnsi="宋体"/>
              </w:rPr>
            </w:pPr>
          </w:p>
        </w:tc>
        <w:tc>
          <w:tcPr>
            <w:tcW w:w="992" w:type="dxa"/>
            <w:tcBorders>
              <w:bottom w:val="single" w:color="auto" w:sz="4" w:space="0"/>
            </w:tcBorders>
            <w:vAlign w:val="center"/>
          </w:tcPr>
          <w:p>
            <w:pPr>
              <w:rPr>
                <w:rFonts w:ascii="宋体" w:hAnsi="宋体"/>
              </w:rPr>
            </w:pPr>
          </w:p>
        </w:tc>
        <w:tc>
          <w:tcPr>
            <w:tcW w:w="1276" w:type="dxa"/>
            <w:tcBorders>
              <w:bottom w:val="single" w:color="auto" w:sz="4" w:space="0"/>
            </w:tcBorders>
            <w:vAlign w:val="center"/>
          </w:tcPr>
          <w:p>
            <w:pPr>
              <w:rPr>
                <w:rFonts w:ascii="宋体" w:hAnsi="宋体"/>
              </w:rPr>
            </w:pPr>
          </w:p>
        </w:tc>
        <w:tc>
          <w:tcPr>
            <w:tcW w:w="1842" w:type="dxa"/>
            <w:tcBorders>
              <w:bottom w:val="single" w:color="auto" w:sz="4" w:space="0"/>
            </w:tcBorders>
            <w:vAlign w:val="center"/>
          </w:tcPr>
          <w:p>
            <w:pPr>
              <w:rPr>
                <w:rFonts w:ascii="宋体" w:hAnsi="宋体"/>
              </w:rPr>
            </w:pPr>
          </w:p>
        </w:tc>
        <w:tc>
          <w:tcPr>
            <w:tcW w:w="2880" w:type="dxa"/>
            <w:tcBorders>
              <w:bottom w:val="single" w:color="auto" w:sz="4" w:space="0"/>
            </w:tcBorders>
            <w:vAlign w:val="center"/>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atLeast"/>
        </w:trPr>
        <w:tc>
          <w:tcPr>
            <w:tcW w:w="1560" w:type="dxa"/>
            <w:vAlign w:val="center"/>
          </w:tcPr>
          <w:p>
            <w:pPr>
              <w:rPr>
                <w:rFonts w:ascii="宋体" w:hAnsi="宋体"/>
              </w:rPr>
            </w:pPr>
          </w:p>
        </w:tc>
        <w:tc>
          <w:tcPr>
            <w:tcW w:w="992" w:type="dxa"/>
            <w:vAlign w:val="center"/>
          </w:tcPr>
          <w:p>
            <w:pPr>
              <w:rPr>
                <w:rFonts w:ascii="宋体" w:hAnsi="宋体"/>
              </w:rPr>
            </w:pPr>
          </w:p>
        </w:tc>
        <w:tc>
          <w:tcPr>
            <w:tcW w:w="1276" w:type="dxa"/>
            <w:vAlign w:val="center"/>
          </w:tcPr>
          <w:p>
            <w:pPr>
              <w:rPr>
                <w:rFonts w:ascii="宋体" w:hAnsi="宋体"/>
              </w:rPr>
            </w:pPr>
          </w:p>
        </w:tc>
        <w:tc>
          <w:tcPr>
            <w:tcW w:w="1842" w:type="dxa"/>
            <w:vAlign w:val="center"/>
          </w:tcPr>
          <w:p>
            <w:pPr>
              <w:rPr>
                <w:rFonts w:ascii="宋体" w:hAnsi="宋体"/>
              </w:rPr>
            </w:pPr>
          </w:p>
        </w:tc>
        <w:tc>
          <w:tcPr>
            <w:tcW w:w="2880" w:type="dxa"/>
            <w:vAlign w:val="center"/>
          </w:tcPr>
          <w:p>
            <w:pPr>
              <w:rPr>
                <w:rFonts w:ascii="宋体" w:hAnsi="宋体"/>
              </w:rPr>
            </w:pPr>
          </w:p>
        </w:tc>
      </w:tr>
    </w:tbl>
    <w:p>
      <w:pPr>
        <w:widowControl/>
        <w:spacing w:line="240" w:lineRule="auto"/>
        <w:ind w:left="743" w:leftChars="354" w:firstLine="105" w:firstLineChars="50"/>
        <w:rPr>
          <w:rFonts w:ascii="宋体" w:hAnsi="宋体"/>
          <w:bCs/>
        </w:rPr>
      </w:pPr>
    </w:p>
    <w:p>
      <w:pPr>
        <w:widowControl/>
        <w:spacing w:line="240" w:lineRule="auto"/>
        <w:ind w:left="743" w:leftChars="354" w:firstLine="105" w:firstLineChars="50"/>
        <w:rPr>
          <w:rFonts w:ascii="宋体" w:hAnsi="宋体"/>
          <w:bCs/>
        </w:rPr>
      </w:pPr>
    </w:p>
    <w:p>
      <w:pPr>
        <w:widowControl/>
        <w:spacing w:line="240" w:lineRule="auto"/>
        <w:ind w:left="743" w:leftChars="354" w:firstLine="105" w:firstLineChars="50"/>
        <w:rPr>
          <w:rFonts w:ascii="宋体" w:hAnsi="宋体"/>
          <w:bCs/>
        </w:rPr>
      </w:pPr>
    </w:p>
    <w:p>
      <w:pPr>
        <w:spacing w:line="480" w:lineRule="auto"/>
        <w:jc w:val="left"/>
        <w:rPr>
          <w:rFonts w:ascii="宋体" w:hAnsi="宋体"/>
          <w:sz w:val="24"/>
        </w:rPr>
      </w:pPr>
      <w:r>
        <w:rPr>
          <w:rFonts w:hint="eastAsia" w:ascii="宋体" w:hAnsi="宋体"/>
          <w:sz w:val="24"/>
        </w:rPr>
        <w:t>响应人（公章）：</w:t>
      </w:r>
      <w:r>
        <w:rPr>
          <w:rFonts w:ascii="宋体" w:hAnsi="宋体"/>
          <w:sz w:val="24"/>
        </w:rPr>
        <w:t>___________________</w:t>
      </w:r>
    </w:p>
    <w:p>
      <w:pPr>
        <w:spacing w:line="480" w:lineRule="auto"/>
        <w:jc w:val="left"/>
        <w:rPr>
          <w:rFonts w:ascii="宋体" w:hAnsi="宋体"/>
          <w:sz w:val="24"/>
        </w:rPr>
      </w:pPr>
      <w:r>
        <w:rPr>
          <w:rFonts w:hint="eastAsia" w:ascii="宋体" w:hAnsi="宋体"/>
          <w:sz w:val="24"/>
        </w:rPr>
        <w:t>法定代表人/授权代表（签字）：</w:t>
      </w:r>
      <w:r>
        <w:rPr>
          <w:rFonts w:ascii="宋体" w:hAnsi="宋体"/>
          <w:sz w:val="24"/>
        </w:rPr>
        <w:t>___________________</w:t>
      </w:r>
    </w:p>
    <w:p>
      <w:pPr>
        <w:spacing w:line="480" w:lineRule="auto"/>
        <w:jc w:val="left"/>
        <w:rPr>
          <w:rFonts w:ascii="宋体" w:hAnsi="宋体"/>
          <w:b/>
          <w:bCs/>
        </w:rPr>
      </w:pPr>
      <w:r>
        <w:rPr>
          <w:rFonts w:hint="eastAsia" w:ascii="宋体" w:hAnsi="宋体"/>
          <w:sz w:val="24"/>
        </w:rPr>
        <w:t>日   期：</w:t>
      </w:r>
      <w:r>
        <w:rPr>
          <w:rFonts w:ascii="宋体" w:hAnsi="宋体"/>
          <w:sz w:val="24"/>
        </w:rPr>
        <w:t>___________________</w:t>
      </w:r>
    </w:p>
    <w:p>
      <w:pPr>
        <w:spacing w:line="600" w:lineRule="exact"/>
        <w:jc w:val="left"/>
        <w:rPr>
          <w:rFonts w:ascii="宋体"/>
          <w:sz w:val="24"/>
        </w:rPr>
      </w:pPr>
    </w:p>
    <w:p>
      <w:pPr>
        <w:spacing w:line="360" w:lineRule="atLeast"/>
        <w:jc w:val="left"/>
        <w:outlineLvl w:val="0"/>
        <w:rPr>
          <w:rFonts w:ascii="宋体"/>
          <w:sz w:val="24"/>
        </w:rPr>
      </w:pPr>
      <w:r>
        <w:rPr>
          <w:b/>
          <w:sz w:val="28"/>
        </w:rPr>
        <w:br w:type="page"/>
      </w:r>
      <w:r>
        <w:rPr>
          <w:rFonts w:hint="eastAsia" w:ascii="宋体"/>
          <w:sz w:val="24"/>
        </w:rPr>
        <w:t>附件八</w:t>
      </w:r>
    </w:p>
    <w:p>
      <w:pPr>
        <w:spacing w:before="120" w:line="360" w:lineRule="atLeast"/>
        <w:jc w:val="center"/>
        <w:rPr>
          <w:rFonts w:ascii="宋体" w:hAnsi="宋体"/>
          <w:b/>
          <w:sz w:val="30"/>
          <w:szCs w:val="30"/>
        </w:rPr>
      </w:pPr>
      <w:r>
        <w:rPr>
          <w:rFonts w:hint="eastAsia" w:ascii="宋体" w:hAnsi="宋体"/>
          <w:b/>
          <w:sz w:val="30"/>
          <w:szCs w:val="30"/>
        </w:rPr>
        <w:t>合同条款承诺函</w:t>
      </w:r>
    </w:p>
    <w:p>
      <w:pPr>
        <w:spacing w:beforeLines="50" w:line="460" w:lineRule="exact"/>
        <w:jc w:val="left"/>
        <w:rPr>
          <w:rFonts w:ascii="宋体" w:hAnsi="宋体"/>
          <w:b/>
          <w:sz w:val="30"/>
          <w:szCs w:val="30"/>
        </w:rPr>
      </w:pPr>
    </w:p>
    <w:p>
      <w:pPr>
        <w:rPr>
          <w:rFonts w:hAnsi="宋体"/>
          <w:sz w:val="24"/>
          <w:szCs w:val="24"/>
        </w:rPr>
      </w:pPr>
    </w:p>
    <w:p>
      <w:pPr>
        <w:spacing w:line="400" w:lineRule="exact"/>
        <w:rPr>
          <w:rFonts w:hAnsi="宋体"/>
          <w:sz w:val="24"/>
          <w:szCs w:val="24"/>
        </w:rPr>
      </w:pPr>
      <w:r>
        <w:rPr>
          <w:rFonts w:hint="eastAsia" w:hAnsi="宋体"/>
          <w:sz w:val="24"/>
          <w:szCs w:val="24"/>
        </w:rPr>
        <w:t>我单位完全满足招标文件第三部分拟签订的合同文本要求，不存在任何负偏离。</w:t>
      </w:r>
    </w:p>
    <w:p>
      <w:pPr>
        <w:spacing w:line="400" w:lineRule="exact"/>
        <w:rPr>
          <w:rFonts w:hAnsi="宋体"/>
          <w:sz w:val="24"/>
          <w:szCs w:val="24"/>
        </w:rPr>
      </w:pPr>
      <w:r>
        <w:rPr>
          <w:rFonts w:hint="eastAsia" w:hAnsi="宋体"/>
          <w:sz w:val="24"/>
          <w:szCs w:val="24"/>
        </w:rPr>
        <w:t>特此承诺。</w:t>
      </w:r>
    </w:p>
    <w:p>
      <w:pPr>
        <w:spacing w:line="400" w:lineRule="exact"/>
        <w:rPr>
          <w:rFonts w:hAnsi="宋体"/>
          <w:sz w:val="24"/>
          <w:szCs w:val="24"/>
        </w:rPr>
      </w:pPr>
    </w:p>
    <w:p>
      <w:pPr>
        <w:spacing w:line="400" w:lineRule="exact"/>
        <w:rPr>
          <w:rFonts w:hAnsi="宋体"/>
          <w:sz w:val="24"/>
          <w:szCs w:val="24"/>
        </w:rPr>
      </w:pPr>
      <w:r>
        <w:rPr>
          <w:rFonts w:hint="eastAsia" w:hAnsi="宋体"/>
          <w:sz w:val="24"/>
          <w:szCs w:val="24"/>
        </w:rPr>
        <w:t>响应人（公章）：</w:t>
      </w:r>
      <w:r>
        <w:rPr>
          <w:rFonts w:hAnsi="宋体"/>
          <w:sz w:val="24"/>
          <w:szCs w:val="24"/>
        </w:rPr>
        <w:t>___________________</w:t>
      </w:r>
    </w:p>
    <w:p>
      <w:pPr>
        <w:rPr>
          <w:rFonts w:hAnsi="宋体"/>
          <w:sz w:val="24"/>
          <w:szCs w:val="24"/>
        </w:rPr>
      </w:pPr>
    </w:p>
    <w:p>
      <w:pPr>
        <w:spacing w:line="400" w:lineRule="exact"/>
        <w:rPr>
          <w:rFonts w:hAnsi="宋体"/>
          <w:sz w:val="24"/>
          <w:szCs w:val="24"/>
        </w:rPr>
      </w:pPr>
      <w:r>
        <w:rPr>
          <w:rFonts w:hint="eastAsia" w:hAnsi="宋体"/>
          <w:sz w:val="24"/>
          <w:szCs w:val="24"/>
        </w:rPr>
        <w:t>法定代表人/授权代表（签字）：</w:t>
      </w:r>
      <w:r>
        <w:rPr>
          <w:rFonts w:hAnsi="宋体"/>
          <w:sz w:val="24"/>
          <w:szCs w:val="24"/>
        </w:rPr>
        <w:t>___________________</w:t>
      </w:r>
    </w:p>
    <w:p>
      <w:pPr>
        <w:rPr>
          <w:rFonts w:hAnsi="宋体"/>
          <w:sz w:val="24"/>
          <w:szCs w:val="24"/>
        </w:rPr>
      </w:pPr>
    </w:p>
    <w:p>
      <w:pPr>
        <w:spacing w:line="360" w:lineRule="atLeast"/>
        <w:jc w:val="left"/>
        <w:outlineLvl w:val="0"/>
        <w:rPr>
          <w:rFonts w:hAnsi="宋体"/>
          <w:sz w:val="24"/>
          <w:szCs w:val="24"/>
        </w:rPr>
      </w:pPr>
      <w:r>
        <w:rPr>
          <w:rFonts w:hint="eastAsia" w:hAnsi="宋体"/>
          <w:sz w:val="24"/>
          <w:szCs w:val="24"/>
        </w:rPr>
        <w:t>日   期：</w:t>
      </w:r>
      <w:r>
        <w:rPr>
          <w:rFonts w:hAnsi="宋体"/>
          <w:sz w:val="24"/>
          <w:szCs w:val="24"/>
        </w:rPr>
        <w:t>___________________</w:t>
      </w:r>
    </w:p>
    <w:p/>
    <w:p>
      <w:pPr>
        <w:pStyle w:val="38"/>
        <w:ind w:firstLine="420"/>
        <w:jc w:val="center"/>
        <w:rPr>
          <w:rFonts w:hint="default"/>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
          <w:sz w:val="28"/>
        </w:rPr>
      </w:pPr>
    </w:p>
    <w:p>
      <w:pPr>
        <w:spacing w:line="400" w:lineRule="atLeast"/>
        <w:rPr>
          <w:rFonts w:ascii="宋体"/>
          <w:bCs/>
          <w:sz w:val="24"/>
          <w:szCs w:val="24"/>
        </w:rPr>
      </w:pPr>
      <w:r>
        <w:rPr>
          <w:rFonts w:hint="eastAsia" w:ascii="宋体"/>
          <w:bCs/>
          <w:sz w:val="24"/>
          <w:szCs w:val="24"/>
        </w:rPr>
        <w:t>附件九</w:t>
      </w:r>
    </w:p>
    <w:p>
      <w:pPr>
        <w:spacing w:afterLines="100"/>
        <w:jc w:val="center"/>
        <w:rPr>
          <w:rFonts w:ascii="宋体" w:hAnsi="宋体"/>
          <w:b/>
          <w:bCs/>
          <w:sz w:val="28"/>
          <w:szCs w:val="28"/>
        </w:rPr>
      </w:pPr>
      <w:r>
        <w:rPr>
          <w:rFonts w:hint="eastAsia" w:ascii="宋体" w:hAnsi="宋体"/>
          <w:b/>
          <w:bCs/>
          <w:sz w:val="28"/>
          <w:szCs w:val="28"/>
        </w:rPr>
        <w:t>服务条款应答表</w:t>
      </w:r>
    </w:p>
    <w:tbl>
      <w:tblPr>
        <w:tblStyle w:val="2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3242"/>
        <w:gridCol w:w="2339"/>
        <w:gridCol w:w="1418"/>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8" w:hRule="atLeast"/>
        </w:trPr>
        <w:tc>
          <w:tcPr>
            <w:tcW w:w="1134" w:type="dxa"/>
            <w:vAlign w:val="center"/>
          </w:tcPr>
          <w:p>
            <w:pPr>
              <w:spacing w:line="360" w:lineRule="exact"/>
              <w:jc w:val="center"/>
              <w:rPr>
                <w:rFonts w:ascii="宋体" w:hAnsi="宋体"/>
                <w:b/>
                <w:bCs/>
                <w:sz w:val="24"/>
              </w:rPr>
            </w:pPr>
            <w:r>
              <w:rPr>
                <w:rFonts w:hint="eastAsia" w:ascii="宋体" w:hAnsi="宋体"/>
                <w:b/>
                <w:bCs/>
                <w:sz w:val="24"/>
              </w:rPr>
              <w:t>条款号</w:t>
            </w:r>
          </w:p>
        </w:tc>
        <w:tc>
          <w:tcPr>
            <w:tcW w:w="3242" w:type="dxa"/>
            <w:vAlign w:val="center"/>
          </w:tcPr>
          <w:p>
            <w:pPr>
              <w:spacing w:line="360" w:lineRule="exact"/>
              <w:jc w:val="center"/>
              <w:rPr>
                <w:rFonts w:ascii="宋体" w:hAnsi="宋体"/>
                <w:b/>
                <w:sz w:val="24"/>
                <w:szCs w:val="24"/>
              </w:rPr>
            </w:pPr>
            <w:r>
              <w:rPr>
                <w:rFonts w:hint="eastAsia" w:ascii="宋体" w:hAnsi="宋体"/>
                <w:b/>
                <w:sz w:val="24"/>
                <w:szCs w:val="24"/>
              </w:rPr>
              <w:t>采购文件</w:t>
            </w:r>
          </w:p>
          <w:p>
            <w:pPr>
              <w:spacing w:line="360" w:lineRule="exact"/>
              <w:jc w:val="center"/>
              <w:rPr>
                <w:rFonts w:ascii="宋体" w:hAnsi="宋体"/>
                <w:b/>
                <w:bCs/>
                <w:sz w:val="24"/>
              </w:rPr>
            </w:pPr>
            <w:r>
              <w:rPr>
                <w:rFonts w:hint="eastAsia" w:ascii="宋体" w:hAnsi="宋体"/>
                <w:b/>
                <w:sz w:val="24"/>
                <w:szCs w:val="24"/>
              </w:rPr>
              <w:t>服务需求条款要求</w:t>
            </w:r>
          </w:p>
        </w:tc>
        <w:tc>
          <w:tcPr>
            <w:tcW w:w="2339" w:type="dxa"/>
            <w:vAlign w:val="center"/>
          </w:tcPr>
          <w:p>
            <w:pPr>
              <w:spacing w:line="360" w:lineRule="exact"/>
              <w:jc w:val="center"/>
              <w:rPr>
                <w:rFonts w:ascii="宋体" w:hAnsi="宋体"/>
                <w:b/>
                <w:bCs/>
                <w:szCs w:val="21"/>
              </w:rPr>
            </w:pPr>
            <w:r>
              <w:rPr>
                <w:rFonts w:hint="eastAsia" w:ascii="宋体" w:hAnsi="宋体"/>
                <w:b/>
                <w:sz w:val="24"/>
              </w:rPr>
              <w:t>论证文件应答</w:t>
            </w:r>
          </w:p>
        </w:tc>
        <w:tc>
          <w:tcPr>
            <w:tcW w:w="1418" w:type="dxa"/>
            <w:vAlign w:val="center"/>
          </w:tcPr>
          <w:p>
            <w:pPr>
              <w:spacing w:line="360" w:lineRule="exact"/>
              <w:jc w:val="center"/>
              <w:rPr>
                <w:rFonts w:ascii="宋体" w:hAnsi="宋体"/>
                <w:b/>
                <w:bCs/>
                <w:sz w:val="24"/>
              </w:rPr>
            </w:pPr>
            <w:r>
              <w:rPr>
                <w:rFonts w:hint="eastAsia" w:ascii="宋体" w:hAnsi="宋体"/>
                <w:b/>
                <w:sz w:val="24"/>
              </w:rPr>
              <w:t>响应/偏离</w:t>
            </w:r>
          </w:p>
        </w:tc>
        <w:tc>
          <w:tcPr>
            <w:tcW w:w="1081" w:type="dxa"/>
            <w:vAlign w:val="center"/>
          </w:tcPr>
          <w:p>
            <w:pPr>
              <w:spacing w:line="360" w:lineRule="exact"/>
              <w:jc w:val="center"/>
              <w:rPr>
                <w:rFonts w:ascii="宋体" w:hAnsi="宋体"/>
                <w:b/>
                <w:sz w:val="24"/>
              </w:rPr>
            </w:pPr>
            <w:r>
              <w:rPr>
                <w:rFonts w:hint="eastAsia" w:ascii="宋体" w:hAnsi="宋体"/>
                <w:b/>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1" w:hRule="atLeast"/>
        </w:trPr>
        <w:tc>
          <w:tcPr>
            <w:tcW w:w="1134" w:type="dxa"/>
          </w:tcPr>
          <w:p>
            <w:pPr>
              <w:spacing w:before="120" w:after="120" w:line="400" w:lineRule="exact"/>
              <w:jc w:val="center"/>
              <w:rPr>
                <w:rFonts w:ascii="宋体" w:hAnsi="宋体"/>
                <w:szCs w:val="21"/>
              </w:rPr>
            </w:pPr>
          </w:p>
        </w:tc>
        <w:tc>
          <w:tcPr>
            <w:tcW w:w="3242" w:type="dxa"/>
          </w:tcPr>
          <w:p>
            <w:pPr>
              <w:widowControl/>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134" w:type="dxa"/>
          </w:tcPr>
          <w:p>
            <w:pPr>
              <w:spacing w:before="120" w:after="120" w:line="400" w:lineRule="exact"/>
              <w:jc w:val="center"/>
              <w:rPr>
                <w:rFonts w:ascii="宋体" w:hAnsi="宋体"/>
                <w:szCs w:val="21"/>
              </w:rPr>
            </w:pPr>
          </w:p>
        </w:tc>
        <w:tc>
          <w:tcPr>
            <w:tcW w:w="3242" w:type="dxa"/>
          </w:tcPr>
          <w:p>
            <w:pPr>
              <w:pStyle w:val="18"/>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60" w:hRule="atLeas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0" w:hRule="atLeast"/>
        </w:trPr>
        <w:tc>
          <w:tcPr>
            <w:tcW w:w="1134" w:type="dxa"/>
          </w:tcPr>
          <w:p>
            <w:pPr>
              <w:spacing w:before="120" w:after="120" w:line="400" w:lineRule="exact"/>
              <w:jc w:val="center"/>
              <w:rPr>
                <w:rFonts w:ascii="宋体" w:hAnsi="宋体"/>
                <w:szCs w:val="21"/>
              </w:rPr>
            </w:pPr>
          </w:p>
        </w:tc>
        <w:tc>
          <w:tcPr>
            <w:tcW w:w="3242" w:type="dxa"/>
          </w:tcPr>
          <w:p>
            <w:pPr>
              <w:pStyle w:val="18"/>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pStyle w:val="18"/>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pStyle w:val="18"/>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pStyle w:val="18"/>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pStyle w:val="18"/>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pStyle w:val="18"/>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pStyle w:val="18"/>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pStyle w:val="18"/>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jc w:val="left"/>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pStyle w:val="18"/>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spacing w:line="360" w:lineRule="auto"/>
              <w:rPr>
                <w:rFonts w:ascii="宋体" w:hAnsi="宋体"/>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1134" w:type="dxa"/>
          </w:tcPr>
          <w:p>
            <w:pPr>
              <w:spacing w:before="120" w:after="120" w:line="400" w:lineRule="exact"/>
              <w:jc w:val="center"/>
              <w:rPr>
                <w:rFonts w:ascii="宋体" w:hAnsi="宋体"/>
                <w:szCs w:val="21"/>
              </w:rPr>
            </w:pPr>
          </w:p>
        </w:tc>
        <w:tc>
          <w:tcPr>
            <w:tcW w:w="3242" w:type="dxa"/>
          </w:tcPr>
          <w:p>
            <w:pPr>
              <w:pStyle w:val="18"/>
              <w:widowControl/>
              <w:shd w:val="clear" w:color="auto" w:fill="FFFFFF"/>
              <w:spacing w:before="75" w:beforeAutospacing="0" w:after="75" w:afterAutospacing="0" w:line="420" w:lineRule="atLeast"/>
              <w:rPr>
                <w:rFonts w:ascii="宋体" w:hAnsi="宋体"/>
                <w:sz w:val="21"/>
                <w:szCs w:val="21"/>
              </w:rPr>
            </w:pPr>
          </w:p>
        </w:tc>
        <w:tc>
          <w:tcPr>
            <w:tcW w:w="2339" w:type="dxa"/>
          </w:tcPr>
          <w:p>
            <w:pPr>
              <w:spacing w:before="120" w:after="120" w:line="400" w:lineRule="exact"/>
              <w:jc w:val="center"/>
              <w:rPr>
                <w:rFonts w:ascii="宋体" w:hAnsi="宋体"/>
                <w:sz w:val="32"/>
              </w:rPr>
            </w:pPr>
          </w:p>
        </w:tc>
        <w:tc>
          <w:tcPr>
            <w:tcW w:w="1418" w:type="dxa"/>
          </w:tcPr>
          <w:p>
            <w:pPr>
              <w:spacing w:before="120" w:after="120" w:line="400" w:lineRule="exact"/>
              <w:jc w:val="center"/>
              <w:rPr>
                <w:rFonts w:ascii="宋体" w:hAnsi="宋体"/>
                <w:sz w:val="32"/>
              </w:rPr>
            </w:pPr>
          </w:p>
        </w:tc>
        <w:tc>
          <w:tcPr>
            <w:tcW w:w="1081" w:type="dxa"/>
          </w:tcPr>
          <w:p>
            <w:pPr>
              <w:spacing w:before="120" w:after="120" w:line="400" w:lineRule="exact"/>
              <w:jc w:val="center"/>
              <w:rPr>
                <w:rFonts w:ascii="宋体" w:hAnsi="宋体"/>
                <w:sz w:val="32"/>
              </w:rPr>
            </w:pPr>
          </w:p>
        </w:tc>
      </w:tr>
    </w:tbl>
    <w:p>
      <w:pPr>
        <w:spacing w:before="120" w:line="400" w:lineRule="exact"/>
        <w:ind w:left="840" w:right="183" w:rightChars="87" w:hanging="840" w:hangingChars="350"/>
        <w:rPr>
          <w:rFonts w:ascii="宋体" w:hAnsi="宋体"/>
          <w:sz w:val="24"/>
          <w:szCs w:val="24"/>
        </w:rPr>
      </w:pPr>
      <w:r>
        <w:rPr>
          <w:rFonts w:hint="eastAsia" w:ascii="宋体" w:hAnsi="宋体"/>
          <w:sz w:val="24"/>
          <w:szCs w:val="24"/>
        </w:rPr>
        <w:t>注：(1)</w:t>
      </w:r>
      <w:r>
        <w:rPr>
          <w:rFonts w:hint="eastAsia" w:ascii="宋体" w:hAnsi="宋体"/>
          <w:sz w:val="24"/>
          <w:szCs w:val="24"/>
        </w:rPr>
        <w:tab/>
      </w:r>
      <w:r>
        <w:rPr>
          <w:rFonts w:hint="eastAsia" w:ascii="宋体" w:hAnsi="宋体"/>
          <w:sz w:val="24"/>
          <w:szCs w:val="24"/>
        </w:rPr>
        <w:t>对照采购文件第二部分“服务需求书”中所列的要求逐一应答，对不满足要求项需列出偏差。如果仅注明“符合”、“满足”或不填写，将视为该项不符合。</w:t>
      </w:r>
    </w:p>
    <w:p>
      <w:pPr>
        <w:spacing w:before="120" w:line="400" w:lineRule="exact"/>
        <w:ind w:right="183" w:rightChars="87" w:firstLine="480" w:firstLineChars="200"/>
        <w:rPr>
          <w:rFonts w:ascii="宋体" w:hAnsi="宋体"/>
          <w:sz w:val="24"/>
          <w:szCs w:val="24"/>
        </w:rPr>
      </w:pPr>
      <w:r>
        <w:rPr>
          <w:rFonts w:hint="eastAsia" w:ascii="宋体" w:hAnsi="宋体"/>
          <w:sz w:val="24"/>
          <w:szCs w:val="24"/>
        </w:rPr>
        <w:t>(2)</w:t>
      </w:r>
      <w:r>
        <w:rPr>
          <w:rFonts w:hint="eastAsia" w:ascii="宋体" w:hAnsi="宋体"/>
          <w:sz w:val="24"/>
          <w:szCs w:val="24"/>
        </w:rPr>
        <w:tab/>
      </w:r>
      <w:r>
        <w:rPr>
          <w:rFonts w:hint="eastAsia" w:ascii="宋体" w:hAnsi="宋体"/>
          <w:sz w:val="24"/>
          <w:szCs w:val="24"/>
        </w:rPr>
        <w:t>表中条款号应与采购文件第二部分中所列条款号一致。</w:t>
      </w:r>
    </w:p>
    <w:p>
      <w:pPr>
        <w:spacing w:before="120" w:line="400" w:lineRule="exact"/>
        <w:ind w:right="183" w:rightChars="87"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rPr>
        <w:tab/>
      </w:r>
      <w:r>
        <w:rPr>
          <w:rFonts w:hint="eastAsia" w:ascii="宋体" w:hAnsi="宋体"/>
          <w:sz w:val="24"/>
          <w:szCs w:val="24"/>
        </w:rPr>
        <w:t>此表为格式表，各响应人可根据情况调整。</w:t>
      </w:r>
    </w:p>
    <w:p>
      <w:pPr>
        <w:snapToGrid w:val="0"/>
        <w:spacing w:line="480" w:lineRule="auto"/>
        <w:ind w:firstLine="550"/>
        <w:jc w:val="left"/>
        <w:rPr>
          <w:rFonts w:ascii="宋体" w:hAnsi="宋体"/>
          <w:sz w:val="24"/>
          <w:szCs w:val="24"/>
        </w:rPr>
      </w:pPr>
      <w:r>
        <w:rPr>
          <w:rFonts w:hint="eastAsia" w:ascii="宋体" w:hAnsi="宋体"/>
          <w:sz w:val="24"/>
          <w:szCs w:val="24"/>
        </w:rPr>
        <w:t>响应人（公章）：</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pPr>
        <w:snapToGrid w:val="0"/>
        <w:spacing w:line="480" w:lineRule="auto"/>
        <w:ind w:firstLine="550"/>
        <w:jc w:val="left"/>
        <w:rPr>
          <w:rFonts w:ascii="宋体" w:hAnsi="宋体"/>
          <w:sz w:val="24"/>
          <w:szCs w:val="24"/>
        </w:rPr>
      </w:pPr>
      <w:r>
        <w:rPr>
          <w:rFonts w:hint="eastAsia" w:ascii="宋体" w:hAnsi="宋体"/>
          <w:sz w:val="24"/>
          <w:szCs w:val="24"/>
        </w:rPr>
        <w:t>法定代表人/授权代表（签字）：</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pPr>
        <w:ind w:firstLine="600" w:firstLineChars="250"/>
        <w:jc w:val="left"/>
        <w:outlineLvl w:val="0"/>
        <w:rPr>
          <w:rFonts w:eastAsia="黑体"/>
          <w:sz w:val="24"/>
        </w:rPr>
        <w:sectPr>
          <w:headerReference r:id="rId9" w:type="default"/>
          <w:footerReference r:id="rId10" w:type="default"/>
          <w:pgSz w:w="11907" w:h="16840"/>
          <w:pgMar w:top="1588" w:right="1134" w:bottom="1814" w:left="1418" w:header="851" w:footer="737" w:gutter="0"/>
          <w:cols w:space="720" w:num="1"/>
          <w:docGrid w:linePitch="285" w:charSpace="0"/>
        </w:sectPr>
      </w:pPr>
      <w:r>
        <w:rPr>
          <w:rFonts w:hint="eastAsia" w:ascii="宋体" w:hAnsi="宋体"/>
          <w:sz w:val="24"/>
          <w:szCs w:val="24"/>
        </w:rPr>
        <w:t>日期：</w:t>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r>
        <w:rPr>
          <w:rFonts w:hint="eastAsia" w:ascii="宋体" w:hAnsi="宋体"/>
          <w:sz w:val="24"/>
          <w:szCs w:val="24"/>
          <w:u w:val="single"/>
        </w:rPr>
        <w:tab/>
      </w:r>
    </w:p>
    <w:p>
      <w:pPr>
        <w:spacing w:line="400" w:lineRule="atLeast"/>
        <w:jc w:val="left"/>
        <w:rPr>
          <w:rFonts w:ascii="宋体"/>
          <w:bCs/>
          <w:sz w:val="24"/>
          <w:szCs w:val="24"/>
        </w:rPr>
      </w:pPr>
      <w:r>
        <w:rPr>
          <w:rFonts w:hint="eastAsia" w:ascii="宋体"/>
          <w:bCs/>
          <w:sz w:val="24"/>
          <w:szCs w:val="24"/>
        </w:rPr>
        <w:t>附件十</w:t>
      </w:r>
    </w:p>
    <w:p>
      <w:pPr>
        <w:spacing w:line="240" w:lineRule="atLeast"/>
        <w:ind w:left="1080" w:leftChars="257" w:hanging="540"/>
        <w:jc w:val="center"/>
        <w:rPr>
          <w:rFonts w:ascii="宋体" w:hAnsi="宋体"/>
          <w:b/>
          <w:sz w:val="28"/>
        </w:rPr>
      </w:pPr>
      <w:r>
        <w:rPr>
          <w:rFonts w:hint="eastAsia" w:ascii="宋体" w:hAnsi="宋体"/>
          <w:b/>
          <w:sz w:val="28"/>
        </w:rPr>
        <w:t>残疾人福利性单位声明函</w:t>
      </w:r>
    </w:p>
    <w:p>
      <w:pPr>
        <w:spacing w:line="588" w:lineRule="exact"/>
        <w:rPr>
          <w:rFonts w:ascii="仿宋_GB2312" w:eastAsia="仿宋_GB2312"/>
          <w:b/>
          <w:spacing w:val="6"/>
          <w:sz w:val="30"/>
          <w:szCs w:val="30"/>
        </w:rPr>
      </w:pPr>
    </w:p>
    <w:p>
      <w:pPr>
        <w:spacing w:line="588" w:lineRule="exact"/>
        <w:rPr>
          <w:rFonts w:ascii="宋体" w:hAnsi="宋体"/>
          <w:spacing w:val="6"/>
          <w:sz w:val="24"/>
        </w:rPr>
      </w:pPr>
      <w:r>
        <w:rPr>
          <w:rFonts w:hint="eastAsia" w:ascii="宋体" w:hAnsi="宋体"/>
          <w:spacing w:val="6"/>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宋体" w:hAnsi="宋体"/>
          <w:spacing w:val="6"/>
          <w:sz w:val="24"/>
        </w:rPr>
      </w:pPr>
      <w:r>
        <w:rPr>
          <w:rFonts w:hint="eastAsia" w:ascii="宋体" w:hAnsi="宋体"/>
          <w:spacing w:val="6"/>
          <w:sz w:val="24"/>
        </w:rPr>
        <w:t>本单位对上述声明的真实性负责。如有虚假，将依法承担相应责任。</w:t>
      </w:r>
    </w:p>
    <w:p>
      <w:pPr>
        <w:spacing w:line="588" w:lineRule="exact"/>
        <w:ind w:firstLine="504" w:firstLineChars="200"/>
        <w:rPr>
          <w:rFonts w:ascii="宋体" w:hAnsi="宋体"/>
          <w:spacing w:val="6"/>
          <w:sz w:val="24"/>
        </w:rPr>
      </w:pPr>
    </w:p>
    <w:p>
      <w:pPr>
        <w:spacing w:line="588" w:lineRule="exact"/>
        <w:ind w:firstLine="504" w:firstLineChars="200"/>
        <w:rPr>
          <w:rFonts w:ascii="宋体" w:hAnsi="宋体"/>
          <w:spacing w:val="6"/>
          <w:sz w:val="24"/>
        </w:rPr>
      </w:pPr>
    </w:p>
    <w:p>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单位名称（盖章）：</w:t>
      </w:r>
    </w:p>
    <w:p>
      <w:pPr>
        <w:tabs>
          <w:tab w:val="left" w:pos="4860"/>
        </w:tabs>
        <w:spacing w:line="588" w:lineRule="exact"/>
        <w:ind w:right="1560" w:firstLine="504" w:firstLineChars="200"/>
        <w:jc w:val="center"/>
        <w:rPr>
          <w:rFonts w:ascii="宋体" w:hAnsi="宋体"/>
          <w:spacing w:val="6"/>
          <w:sz w:val="24"/>
        </w:rPr>
      </w:pPr>
      <w:r>
        <w:rPr>
          <w:rFonts w:hint="eastAsia" w:ascii="宋体" w:hAnsi="宋体"/>
          <w:spacing w:val="6"/>
          <w:sz w:val="24"/>
        </w:rPr>
        <w:t xml:space="preserve">       日  期：</w:t>
      </w: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jc w:val="center"/>
        <w:rPr>
          <w:rFonts w:ascii="宋体"/>
          <w:b/>
          <w:sz w:val="28"/>
        </w:rPr>
      </w:pPr>
    </w:p>
    <w:p>
      <w:pPr>
        <w:spacing w:line="400" w:lineRule="atLeast"/>
        <w:rPr>
          <w:rFonts w:ascii="宋体"/>
          <w:b/>
          <w:sz w:val="28"/>
        </w:rPr>
      </w:pPr>
    </w:p>
    <w:p>
      <w:pPr>
        <w:spacing w:line="400" w:lineRule="atLeast"/>
        <w:jc w:val="left"/>
        <w:rPr>
          <w:rFonts w:ascii="宋体"/>
          <w:bCs/>
          <w:sz w:val="24"/>
          <w:szCs w:val="24"/>
        </w:rPr>
      </w:pPr>
      <w:r>
        <w:rPr>
          <w:rFonts w:hint="eastAsia" w:ascii="宋体"/>
          <w:bCs/>
          <w:sz w:val="24"/>
          <w:szCs w:val="24"/>
        </w:rPr>
        <w:t>附件十一</w:t>
      </w:r>
    </w:p>
    <w:p>
      <w:pPr>
        <w:pStyle w:val="4"/>
        <w:spacing w:line="360" w:lineRule="auto"/>
        <w:rPr>
          <w:rFonts w:ascii="仿宋_GB2312" w:eastAsia="仿宋_GB2312"/>
          <w:sz w:val="28"/>
          <w:szCs w:val="28"/>
        </w:rPr>
      </w:pPr>
      <w:r>
        <w:rPr>
          <w:rFonts w:hint="eastAsia" w:ascii="仿宋_GB2312" w:eastAsia="仿宋_GB2312"/>
          <w:sz w:val="28"/>
          <w:szCs w:val="28"/>
        </w:rPr>
        <w:t>监狱企业</w:t>
      </w:r>
      <w:r>
        <w:rPr>
          <w:rFonts w:ascii="仿宋_GB2312" w:eastAsia="仿宋_GB2312"/>
          <w:sz w:val="28"/>
          <w:szCs w:val="28"/>
        </w:rPr>
        <w:t>声明函</w:t>
      </w:r>
    </w:p>
    <w:p>
      <w:pPr>
        <w:spacing w:line="360" w:lineRule="auto"/>
        <w:ind w:left="1080" w:leftChars="257" w:hanging="540"/>
        <w:jc w:val="center"/>
        <w:rPr>
          <w:rFonts w:ascii="仿宋_GB2312" w:hAnsi="Arial" w:eastAsia="仿宋_GB2312"/>
          <w:b/>
          <w:sz w:val="24"/>
        </w:rPr>
      </w:pPr>
    </w:p>
    <w:p>
      <w:pPr>
        <w:widowControl/>
        <w:spacing w:before="100" w:beforeAutospacing="1" w:after="100" w:afterAutospacing="1" w:line="360" w:lineRule="auto"/>
        <w:ind w:firstLine="480" w:firstLineChars="200"/>
        <w:jc w:val="left"/>
        <w:rPr>
          <w:rFonts w:ascii="仿宋_GB2312" w:hAnsi="仿宋" w:eastAsia="仿宋_GB2312" w:cs="宋体"/>
          <w:sz w:val="24"/>
        </w:rPr>
      </w:pPr>
      <w:r>
        <w:rPr>
          <w:rFonts w:hint="eastAsia" w:ascii="仿宋_GB2312" w:hAnsi="仿宋" w:eastAsia="仿宋_GB2312" w:cs="宋体"/>
          <w:sz w:val="24"/>
        </w:rPr>
        <w:t>本单位郑重声明，本单位在参加</w:t>
      </w:r>
      <w:r>
        <w:rPr>
          <w:rFonts w:hint="eastAsia" w:ascii="仿宋_GB2312" w:hAnsi="仿宋" w:eastAsia="仿宋_GB2312" w:cs="宋体"/>
          <w:sz w:val="24"/>
          <w:u w:val="single"/>
        </w:rPr>
        <w:t>（采购人名称）</w:t>
      </w:r>
      <w:r>
        <w:rPr>
          <w:rFonts w:hint="eastAsia" w:ascii="仿宋_GB2312" w:hAnsi="仿宋" w:eastAsia="仿宋_GB2312" w:cs="宋体"/>
          <w:sz w:val="24"/>
        </w:rPr>
        <w:t>的</w:t>
      </w:r>
      <w:r>
        <w:rPr>
          <w:rFonts w:hint="eastAsia" w:ascii="仿宋_GB2312" w:hAnsi="仿宋" w:eastAsia="仿宋_GB2312" w:cs="宋体"/>
          <w:sz w:val="24"/>
          <w:u w:val="single"/>
        </w:rPr>
        <w:t>（招标项目名称）</w:t>
      </w:r>
      <w:r>
        <w:rPr>
          <w:rFonts w:hint="eastAsia" w:ascii="仿宋_GB2312" w:hAnsi="仿宋" w:eastAsia="仿宋_GB2312" w:cs="宋体"/>
          <w:sz w:val="24"/>
        </w:rPr>
        <w:t>项目采购活动提供以下监狱企业制造的货物（或监狱企业承担的工程、或监狱企业承接的服务），具体情况如下：（按照实际情况勾选或填空）</w:t>
      </w:r>
    </w:p>
    <w:p>
      <w:pPr>
        <w:widowControl/>
        <w:spacing w:before="100" w:beforeAutospacing="1" w:after="100" w:afterAutospacing="1" w:line="360" w:lineRule="auto"/>
        <w:ind w:firstLine="360" w:firstLineChars="150"/>
        <w:jc w:val="left"/>
        <w:rPr>
          <w:rFonts w:ascii="仿宋_GB2312" w:hAnsi="仿宋" w:eastAsia="仿宋_GB2312" w:cs="宋体"/>
          <w:sz w:val="24"/>
        </w:rPr>
      </w:pPr>
      <w:r>
        <w:rPr>
          <w:rFonts w:hint="eastAsia" w:ascii="仿宋_GB2312" w:hAnsi="仿宋" w:eastAsia="仿宋_GB2312" w:cs="宋体"/>
          <w:sz w:val="24"/>
        </w:rPr>
        <w:t>（1）□</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（2）□</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属于监狱企业并作为联合体一方，其提供协议合同金额占到共同投标协议合同总金额的比例为。后附省级以上监狱管理局、戒毒管理局（含新疆生产建设兵团）出具的属于监狱企业的证明文件。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sz w:val="24"/>
        </w:rPr>
      </w:pPr>
      <w:r>
        <w:rPr>
          <w:rFonts w:hint="eastAsia" w:ascii="仿宋_GB2312" w:hAnsi="仿宋" w:eastAsia="仿宋_GB2312" w:cs="宋体"/>
          <w:sz w:val="24"/>
        </w:rPr>
        <w:t>（3）□</w:t>
      </w:r>
      <w:r>
        <w:rPr>
          <w:rFonts w:hint="eastAsia" w:ascii="仿宋_GB2312" w:hAnsi="仿宋" w:eastAsia="仿宋_GB2312" w:cs="宋体"/>
          <w:sz w:val="24"/>
          <w:u w:val="single"/>
        </w:rPr>
        <w:t>（制造商名称）</w:t>
      </w:r>
      <w:r>
        <w:rPr>
          <w:rFonts w:hint="eastAsia" w:ascii="仿宋_GB2312" w:hAnsi="仿宋" w:eastAsia="仿宋_GB2312" w:cs="宋体"/>
          <w:sz w:val="24"/>
        </w:rPr>
        <w:t>属于监狱企业并作为分包方，其提供协议合同金额占到分包意向协议合同总金额的比例为。后附省级以上监狱管理局、戒毒管理局（含新疆生产建设兵团）出具的属于监狱企业的证明文件。</w:t>
      </w:r>
    </w:p>
    <w:p>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本单位对上述声明的真实性负责。如有虚假，将依法承担相应责任。</w:t>
      </w:r>
    </w:p>
    <w:p>
      <w:pPr>
        <w:widowControl/>
        <w:spacing w:before="100" w:beforeAutospacing="1" w:after="100" w:afterAutospacing="1" w:line="360" w:lineRule="auto"/>
        <w:jc w:val="left"/>
        <w:rPr>
          <w:rFonts w:ascii="仿宋_GB2312" w:hAnsi="仿宋" w:eastAsia="仿宋_GB2312" w:cs="宋体"/>
          <w:sz w:val="24"/>
        </w:rPr>
      </w:pPr>
      <w:r>
        <w:rPr>
          <w:rFonts w:hint="eastAsia" w:ascii="仿宋_GB2312" w:hAnsi="仿宋" w:eastAsia="仿宋_GB2312" w:cs="宋体"/>
          <w:sz w:val="24"/>
        </w:rPr>
        <w:t>　　</w:t>
      </w:r>
    </w:p>
    <w:p>
      <w:pPr>
        <w:widowControl/>
        <w:spacing w:before="100" w:beforeAutospacing="1" w:after="100" w:afterAutospacing="1" w:line="360" w:lineRule="auto"/>
        <w:jc w:val="left"/>
        <w:rPr>
          <w:rFonts w:ascii="仿宋_GB2312" w:hAnsi="仿宋" w:eastAsia="仿宋_GB2312" w:cs="宋体"/>
          <w:sz w:val="24"/>
        </w:rPr>
      </w:pPr>
    </w:p>
    <w:p>
      <w:pPr>
        <w:spacing w:line="360" w:lineRule="auto"/>
        <w:ind w:left="1080" w:leftChars="257" w:hanging="540"/>
        <w:jc w:val="center"/>
        <w:rPr>
          <w:rFonts w:ascii="仿宋_GB2312" w:hAnsi="Arial" w:eastAsia="仿宋_GB2312"/>
          <w:b/>
          <w:sz w:val="24"/>
        </w:rPr>
      </w:pPr>
      <w:r>
        <w:rPr>
          <w:rFonts w:hint="eastAsia" w:ascii="仿宋_GB2312" w:hAnsi="Arial" w:eastAsia="仿宋_GB2312"/>
          <w:b/>
          <w:sz w:val="24"/>
        </w:rPr>
        <w:t>　</w:t>
      </w:r>
    </w:p>
    <w:p>
      <w:pPr>
        <w:spacing w:line="588" w:lineRule="exact"/>
        <w:ind w:firstLine="5280" w:firstLineChars="2200"/>
        <w:rPr>
          <w:rFonts w:ascii="仿宋_GB2312" w:hAnsi="仿宋" w:eastAsia="仿宋_GB2312" w:cs="宋体"/>
          <w:sz w:val="24"/>
        </w:rPr>
      </w:pPr>
      <w:r>
        <w:rPr>
          <w:rFonts w:hint="eastAsia" w:ascii="仿宋_GB2312" w:hAnsi="仿宋" w:eastAsia="仿宋_GB2312" w:cs="宋体"/>
          <w:sz w:val="24"/>
        </w:rPr>
        <w:t>单位名称（盖章）：</w:t>
      </w:r>
    </w:p>
    <w:p>
      <w:pPr>
        <w:widowControl/>
        <w:spacing w:before="100" w:beforeAutospacing="1" w:after="100" w:afterAutospacing="1" w:line="330" w:lineRule="atLeast"/>
        <w:ind w:firstLine="5280" w:firstLineChars="2200"/>
        <w:jc w:val="left"/>
        <w:rPr>
          <w:rFonts w:ascii="仿宋_GB2312" w:hAnsi="仿宋" w:eastAsia="仿宋_GB2312" w:cs="宋体"/>
          <w:sz w:val="24"/>
        </w:rPr>
      </w:pPr>
      <w:r>
        <w:rPr>
          <w:rFonts w:hint="eastAsia" w:ascii="仿宋_GB2312" w:hAnsi="仿宋" w:eastAsia="仿宋_GB2312" w:cs="宋体"/>
          <w:sz w:val="24"/>
        </w:rPr>
        <w:t>日  期：</w:t>
      </w:r>
    </w:p>
    <w:p>
      <w:pPr>
        <w:widowControl/>
        <w:spacing w:before="100" w:beforeAutospacing="1" w:after="100" w:afterAutospacing="1" w:line="330" w:lineRule="atLeast"/>
        <w:ind w:firstLine="5280" w:firstLineChars="2200"/>
        <w:jc w:val="left"/>
        <w:rPr>
          <w:rFonts w:ascii="仿宋_GB2312" w:hAnsi="仿宋" w:eastAsia="仿宋_GB2312" w:cs="宋体"/>
          <w:sz w:val="24"/>
        </w:rPr>
      </w:pPr>
    </w:p>
    <w:p>
      <w:pPr>
        <w:spacing w:line="400" w:lineRule="atLeast"/>
        <w:rPr>
          <w:rFonts w:ascii="宋体"/>
          <w:sz w:val="24"/>
        </w:rPr>
      </w:pPr>
    </w:p>
    <w:p>
      <w:pPr>
        <w:pStyle w:val="38"/>
        <w:ind w:firstLine="0" w:firstLineChars="0"/>
        <w:rPr>
          <w:rFonts w:hint="default"/>
        </w:rPr>
      </w:pPr>
    </w:p>
    <w:p>
      <w:pPr>
        <w:pStyle w:val="18"/>
        <w:spacing w:line="360" w:lineRule="auto"/>
        <w:rPr>
          <w:rFonts w:ascii="宋体" w:hAnsi="宋体" w:cs="宋体"/>
          <w:sz w:val="28"/>
          <w:szCs w:val="28"/>
        </w:rPr>
      </w:pPr>
      <w:r>
        <w:rPr>
          <w:rFonts w:hint="eastAsia" w:ascii="宋体" w:hAnsi="宋体" w:cs="宋体"/>
        </w:rPr>
        <w:t>附件十二</w:t>
      </w:r>
    </w:p>
    <w:p>
      <w:pPr>
        <w:pStyle w:val="18"/>
        <w:spacing w:line="360" w:lineRule="auto"/>
        <w:jc w:val="center"/>
        <w:rPr>
          <w:rFonts w:ascii="宋体" w:hAnsi="宋体" w:cs="宋体"/>
          <w:sz w:val="28"/>
          <w:szCs w:val="28"/>
        </w:rPr>
      </w:pPr>
      <w:r>
        <w:rPr>
          <w:rStyle w:val="24"/>
          <w:rFonts w:hint="eastAsia" w:ascii="宋体" w:hAnsi="宋体" w:cs="宋体"/>
          <w:sz w:val="28"/>
          <w:szCs w:val="28"/>
        </w:rPr>
        <w:t>中小企业划型标准规定</w:t>
      </w:r>
    </w:p>
    <w:p>
      <w:pPr>
        <w:numPr>
          <w:ilvl w:val="0"/>
          <w:numId w:val="13"/>
        </w:numPr>
        <w:spacing w:line="360" w:lineRule="auto"/>
        <w:ind w:firstLine="560" w:firstLineChars="200"/>
        <w:rPr>
          <w:rFonts w:ascii="宋体" w:hAnsi="宋体" w:cs="宋体"/>
          <w:sz w:val="28"/>
          <w:szCs w:val="28"/>
        </w:rPr>
      </w:pPr>
      <w:r>
        <w:rPr>
          <w:rFonts w:hint="eastAsia" w:ascii="宋体" w:hAnsi="宋体" w:cs="宋体"/>
          <w:sz w:val="28"/>
          <w:szCs w:val="28"/>
        </w:rPr>
        <w:t>根据《中华人民共和国中小企业促进法》和《国务院关于进一步促进中小企业发展的若干意见》(国发〔2009〕36号)，制定本规定。</w:t>
      </w:r>
    </w:p>
    <w:p>
      <w:pPr>
        <w:spacing w:line="360" w:lineRule="auto"/>
        <w:rPr>
          <w:rFonts w:ascii="宋体" w:hAnsi="宋体" w:cs="宋体"/>
          <w:sz w:val="28"/>
          <w:szCs w:val="28"/>
        </w:rPr>
      </w:pPr>
      <w:r>
        <w:rPr>
          <w:rFonts w:hint="eastAsia" w:ascii="宋体" w:hAnsi="宋体" w:cs="宋体"/>
          <w:sz w:val="28"/>
          <w:szCs w:val="28"/>
        </w:rPr>
        <w:t>　  二、中小企业划分为中型、小型、微型三种类型，具体标准根据企业从业人员、营业收入、资产总额等指标，结合行业特点制定。</w:t>
      </w:r>
    </w:p>
    <w:p>
      <w:pPr>
        <w:spacing w:line="360" w:lineRule="auto"/>
        <w:rPr>
          <w:rFonts w:ascii="宋体" w:hAnsi="宋体" w:cs="宋体"/>
          <w:sz w:val="28"/>
          <w:szCs w:val="28"/>
        </w:rPr>
      </w:pPr>
      <w:r>
        <w:rPr>
          <w:rFonts w:hint="eastAsia" w:ascii="宋体" w:hAnsi="宋体" w:cs="宋体"/>
          <w:sz w:val="28"/>
          <w:szCs w:val="28"/>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pPr>
        <w:spacing w:line="360" w:lineRule="auto"/>
        <w:ind w:firstLine="560" w:firstLineChars="200"/>
        <w:rPr>
          <w:rFonts w:ascii="宋体" w:hAnsi="宋体" w:cs="宋体"/>
          <w:sz w:val="28"/>
          <w:szCs w:val="28"/>
        </w:rPr>
      </w:pPr>
      <w:r>
        <w:rPr>
          <w:rFonts w:hint="eastAsia" w:ascii="宋体" w:hAnsi="宋体" w:cs="宋体"/>
          <w:sz w:val="28"/>
          <w:szCs w:val="28"/>
        </w:rPr>
        <w:t>四、各行业划型标准为：</w:t>
      </w:r>
    </w:p>
    <w:p>
      <w:pPr>
        <w:spacing w:line="360" w:lineRule="auto"/>
        <w:rPr>
          <w:rFonts w:ascii="宋体" w:hAnsi="宋体" w:cs="宋体"/>
          <w:sz w:val="28"/>
          <w:szCs w:val="28"/>
        </w:rPr>
      </w:pPr>
      <w:r>
        <w:rPr>
          <w:rFonts w:hint="eastAsia" w:ascii="宋体" w:hAnsi="宋体" w:cs="宋体"/>
          <w:sz w:val="28"/>
          <w:szCs w:val="28"/>
        </w:rPr>
        <w:t>　　（一）农、林、牧、渔业。营业收入20000万元以下的为中小微型企业。其中，营业收入500万元及以上的为中型企业，营业收入50万元及以上的为小型企业，营业收入50万元以下的为微型企业。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（十六）其他未列明行业。从业人员300人以下的为中小微型企业。其中，从业人员100人及以上的为中型企业；从业人员10人及以上的为小型企业；从业人员10人以下的为微型企业。</w:t>
      </w:r>
    </w:p>
    <w:p>
      <w:pPr>
        <w:spacing w:line="360" w:lineRule="auto"/>
        <w:ind w:firstLine="560" w:firstLineChars="200"/>
        <w:rPr>
          <w:rFonts w:ascii="宋体" w:hAnsi="宋体" w:cs="宋体"/>
          <w:sz w:val="28"/>
          <w:szCs w:val="28"/>
        </w:rPr>
      </w:pPr>
      <w:r>
        <w:rPr>
          <w:rFonts w:hint="eastAsia" w:ascii="宋体" w:hAnsi="宋体" w:cs="宋体"/>
          <w:sz w:val="28"/>
          <w:szCs w:val="28"/>
        </w:rPr>
        <w:t>五、企业类型的划分以统计部门的统计数据为依据。</w:t>
      </w:r>
    </w:p>
    <w:p>
      <w:pPr>
        <w:spacing w:line="360" w:lineRule="auto"/>
        <w:ind w:firstLine="560" w:firstLineChars="200"/>
        <w:rPr>
          <w:rFonts w:ascii="宋体" w:hAnsi="宋体" w:cs="宋体"/>
          <w:sz w:val="28"/>
          <w:szCs w:val="28"/>
        </w:rPr>
      </w:pPr>
      <w:r>
        <w:rPr>
          <w:rFonts w:hint="eastAsia" w:ascii="宋体" w:hAnsi="宋体" w:cs="宋体"/>
          <w:sz w:val="28"/>
          <w:szCs w:val="28"/>
        </w:rPr>
        <w:t>六、本规定适用于在中华人民共和国境内依法设立的各类所有制和各种组织形式的企业。个体工商户和本规定以外的行业，参照本规定进行划型。</w:t>
      </w:r>
    </w:p>
    <w:p>
      <w:pPr>
        <w:spacing w:line="360" w:lineRule="auto"/>
        <w:ind w:firstLine="560" w:firstLineChars="200"/>
        <w:rPr>
          <w:rFonts w:ascii="宋体" w:hAnsi="宋体" w:cs="宋体"/>
          <w:sz w:val="28"/>
          <w:szCs w:val="28"/>
        </w:rPr>
      </w:pPr>
      <w:r>
        <w:rPr>
          <w:rFonts w:hint="eastAsia" w:ascii="宋体" w:hAnsi="宋体" w:cs="宋体"/>
          <w:sz w:val="28"/>
          <w:szCs w:val="28"/>
        </w:rPr>
        <w:t>七、本规定的中型企业标准上限即为大型企业标准的下限，国家统计部门据此制定大中小微型企业的统计分类。国务院有关部门据此进行相关数据分析，不得制定与本规定不一致的企业划型标准。</w:t>
      </w:r>
    </w:p>
    <w:p>
      <w:pPr>
        <w:spacing w:line="360" w:lineRule="auto"/>
        <w:ind w:firstLine="560" w:firstLineChars="200"/>
        <w:rPr>
          <w:rFonts w:ascii="宋体" w:hAnsi="宋体" w:cs="宋体"/>
          <w:sz w:val="28"/>
          <w:szCs w:val="28"/>
        </w:rPr>
      </w:pPr>
      <w:r>
        <w:rPr>
          <w:rFonts w:hint="eastAsia" w:ascii="宋体" w:hAnsi="宋体" w:cs="宋体"/>
          <w:sz w:val="28"/>
          <w:szCs w:val="28"/>
        </w:rPr>
        <w:t>八、本规定由工业和信息化部、国家统计局会同有关部门根据《国民经济行业分类》修订情况和企业发展变化情况适时修订。</w:t>
      </w:r>
    </w:p>
    <w:p>
      <w:pPr>
        <w:spacing w:line="360" w:lineRule="auto"/>
        <w:ind w:firstLine="560" w:firstLineChars="200"/>
        <w:rPr>
          <w:rFonts w:ascii="宋体" w:hAnsi="宋体" w:cs="宋体"/>
          <w:sz w:val="28"/>
          <w:szCs w:val="28"/>
        </w:rPr>
      </w:pPr>
      <w:r>
        <w:rPr>
          <w:rFonts w:hint="eastAsia" w:ascii="宋体" w:hAnsi="宋体" w:cs="宋体"/>
          <w:sz w:val="28"/>
          <w:szCs w:val="28"/>
        </w:rPr>
        <w:t>九、本规定由工业和信息化部、国家统计局会同有关部门负责解释。</w:t>
      </w:r>
    </w:p>
    <w:p>
      <w:pPr>
        <w:spacing w:line="360" w:lineRule="auto"/>
        <w:ind w:firstLine="560" w:firstLineChars="200"/>
        <w:rPr>
          <w:rFonts w:ascii="宋体" w:hAnsi="宋体" w:cs="宋体"/>
          <w:sz w:val="28"/>
          <w:szCs w:val="28"/>
        </w:rPr>
      </w:pPr>
      <w:r>
        <w:rPr>
          <w:rFonts w:hint="eastAsia" w:ascii="宋体" w:hAnsi="宋体" w:cs="宋体"/>
          <w:sz w:val="28"/>
          <w:szCs w:val="28"/>
        </w:rPr>
        <w:t>十、本规定自发布之日起执行，原国家经贸委、原国家计委、财政部和国家统计局2003年颁布的《中小企业标准暂行规定》同时废止。</w:t>
      </w:r>
    </w:p>
    <w:p>
      <w:pPr>
        <w:widowControl/>
        <w:spacing w:before="100" w:beforeAutospacing="1" w:after="100" w:afterAutospacing="1" w:line="330" w:lineRule="atLeast"/>
        <w:jc w:val="left"/>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firstLine="480"/>
        <w:rPr>
          <w:rFonts w:hint="default" w:ascii="仿宋_GB2312" w:hAnsi="仿宋" w:eastAsia="仿宋_GB2312" w:cs="宋体"/>
          <w:sz w:val="24"/>
        </w:rPr>
      </w:pPr>
    </w:p>
    <w:p/>
    <w:p>
      <w:pPr>
        <w:pStyle w:val="38"/>
        <w:ind w:firstLine="480"/>
        <w:rPr>
          <w:rFonts w:hint="default" w:ascii="仿宋_GB2312" w:hAnsi="仿宋" w:eastAsia="仿宋_GB2312" w:cs="宋体"/>
          <w:sz w:val="24"/>
        </w:rPr>
      </w:pPr>
    </w:p>
    <w:p>
      <w:pPr>
        <w:rPr>
          <w:rFonts w:ascii="仿宋_GB2312" w:hAnsi="仿宋" w:eastAsia="仿宋_GB2312" w:cs="宋体"/>
          <w:sz w:val="24"/>
        </w:rPr>
      </w:pPr>
    </w:p>
    <w:p>
      <w:pPr>
        <w:pStyle w:val="38"/>
        <w:ind w:left="1680" w:firstLine="723"/>
        <w:rPr>
          <w:rFonts w:hint="default" w:hAnsi="宋体" w:cs="宋体"/>
          <w:b/>
          <w:bCs/>
          <w:sz w:val="36"/>
          <w:szCs w:val="36"/>
        </w:rPr>
      </w:pPr>
      <w:r>
        <w:rPr>
          <w:rFonts w:hAnsi="宋体" w:cs="宋体"/>
          <w:b/>
          <w:bCs/>
          <w:sz w:val="36"/>
          <w:szCs w:val="36"/>
        </w:rPr>
        <w:t>第五部分 评标细则</w:t>
      </w:r>
    </w:p>
    <w:p>
      <w:pPr>
        <w:spacing w:line="520" w:lineRule="exact"/>
        <w:jc w:val="left"/>
        <w:rPr>
          <w:rFonts w:ascii="宋体" w:hAnsi="宋体"/>
          <w:b/>
          <w:sz w:val="24"/>
          <w:szCs w:val="24"/>
        </w:rPr>
      </w:pPr>
      <w:r>
        <w:rPr>
          <w:rFonts w:hint="eastAsia" w:ascii="宋体" w:hAnsi="宋体"/>
          <w:b/>
          <w:sz w:val="24"/>
          <w:szCs w:val="24"/>
        </w:rPr>
        <w:t>一、总则</w:t>
      </w:r>
    </w:p>
    <w:p>
      <w:pPr>
        <w:spacing w:line="480" w:lineRule="exact"/>
        <w:ind w:firstLine="482"/>
        <w:rPr>
          <w:rFonts w:ascii="宋体" w:hAnsi="宋体"/>
          <w:sz w:val="24"/>
          <w:szCs w:val="24"/>
        </w:rPr>
      </w:pPr>
      <w:r>
        <w:rPr>
          <w:rFonts w:hint="eastAsia" w:ascii="宋体" w:hAnsi="宋体"/>
          <w:sz w:val="24"/>
          <w:szCs w:val="24"/>
        </w:rPr>
        <w:t>评标委员会将仅对在实质上响应需求文件要求的论证文件进行评价和比较。论证文件的评价采用综合评分法，评分按商务、技术和价格三部分分别打分的方式进行。满分为100分。</w:t>
      </w:r>
    </w:p>
    <w:p>
      <w:pPr>
        <w:spacing w:line="480" w:lineRule="exact"/>
        <w:rPr>
          <w:rFonts w:ascii="宋体" w:hAnsi="宋体"/>
          <w:sz w:val="24"/>
          <w:szCs w:val="24"/>
        </w:rPr>
      </w:pPr>
      <w:r>
        <w:rPr>
          <w:rFonts w:hint="eastAsia" w:ascii="宋体" w:hAnsi="宋体"/>
          <w:b/>
          <w:bCs/>
          <w:sz w:val="24"/>
          <w:szCs w:val="24"/>
        </w:rPr>
        <w:t>二、评分细则</w:t>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r>
        <w:rPr>
          <w:rFonts w:hint="eastAsia" w:ascii="宋体" w:hAnsi="宋体"/>
          <w:vanish/>
          <w:sz w:val="24"/>
          <w:szCs w:val="24"/>
        </w:rPr>
        <w:pgNum/>
      </w:r>
    </w:p>
    <w:tbl>
      <w:tblPr>
        <w:tblStyle w:val="21"/>
        <w:tblW w:w="5296" w:type="pct"/>
        <w:tblInd w:w="-31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771"/>
        <w:gridCol w:w="861"/>
        <w:gridCol w:w="1368"/>
        <w:gridCol w:w="647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8" w:hRule="atLeast"/>
        </w:trPr>
        <w:tc>
          <w:tcPr>
            <w:tcW w:w="407" w:type="pct"/>
            <w:vAlign w:val="center"/>
          </w:tcPr>
          <w:p>
            <w:pPr>
              <w:widowControl/>
              <w:spacing w:beforeLines="50" w:line="360" w:lineRule="auto"/>
              <w:jc w:val="center"/>
              <w:rPr>
                <w:rFonts w:ascii="宋体" w:hAnsi="宋体" w:cs="Arial"/>
                <w:szCs w:val="21"/>
              </w:rPr>
            </w:pPr>
            <w:bookmarkStart w:id="4" w:name="_Hlk78876790"/>
            <w:r>
              <w:rPr>
                <w:rFonts w:ascii="宋体" w:hAnsi="宋体" w:cs="Arial"/>
                <w:szCs w:val="21"/>
              </w:rPr>
              <w:t>内容</w:t>
            </w:r>
          </w:p>
        </w:tc>
        <w:tc>
          <w:tcPr>
            <w:tcW w:w="454" w:type="pct"/>
            <w:vAlign w:val="center"/>
          </w:tcPr>
          <w:p>
            <w:pPr>
              <w:widowControl/>
              <w:spacing w:beforeLines="50" w:line="360" w:lineRule="auto"/>
              <w:jc w:val="center"/>
              <w:rPr>
                <w:rFonts w:ascii="宋体" w:hAnsi="宋体" w:cs="Arial"/>
                <w:szCs w:val="21"/>
              </w:rPr>
            </w:pPr>
            <w:r>
              <w:rPr>
                <w:rFonts w:ascii="宋体" w:hAnsi="宋体" w:cs="Arial"/>
                <w:szCs w:val="21"/>
              </w:rPr>
              <w:t>分值</w:t>
            </w:r>
          </w:p>
        </w:tc>
        <w:tc>
          <w:tcPr>
            <w:tcW w:w="722" w:type="pct"/>
            <w:vAlign w:val="center"/>
          </w:tcPr>
          <w:p>
            <w:pPr>
              <w:widowControl/>
              <w:spacing w:beforeLines="50" w:line="360" w:lineRule="auto"/>
              <w:jc w:val="center"/>
              <w:rPr>
                <w:rFonts w:ascii="宋体" w:hAnsi="宋体" w:cs="Arial"/>
                <w:szCs w:val="21"/>
              </w:rPr>
            </w:pPr>
            <w:r>
              <w:rPr>
                <w:rFonts w:ascii="宋体" w:hAnsi="宋体" w:cs="Arial"/>
                <w:szCs w:val="21"/>
              </w:rPr>
              <w:t>评分因素分项</w:t>
            </w:r>
          </w:p>
        </w:tc>
        <w:tc>
          <w:tcPr>
            <w:tcW w:w="3418" w:type="pct"/>
            <w:vAlign w:val="center"/>
          </w:tcPr>
          <w:p>
            <w:pPr>
              <w:widowControl/>
              <w:spacing w:beforeLines="50" w:line="360" w:lineRule="auto"/>
              <w:jc w:val="center"/>
              <w:rPr>
                <w:rFonts w:ascii="宋体" w:hAnsi="宋体" w:cs="Arial"/>
                <w:szCs w:val="21"/>
              </w:rPr>
            </w:pPr>
            <w:r>
              <w:rPr>
                <w:rFonts w:ascii="宋体" w:hAnsi="宋体" w:cs="Arial"/>
                <w:szCs w:val="21"/>
              </w:rPr>
              <w:t>评分标准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3" w:hRule="atLeast"/>
        </w:trPr>
        <w:tc>
          <w:tcPr>
            <w:tcW w:w="407" w:type="pct"/>
            <w:vAlign w:val="center"/>
          </w:tcPr>
          <w:p>
            <w:pPr>
              <w:widowControl/>
              <w:spacing w:beforeLines="50" w:line="360" w:lineRule="auto"/>
              <w:rPr>
                <w:rFonts w:ascii="宋体" w:hAnsi="宋体" w:cs="Arial"/>
                <w:szCs w:val="21"/>
              </w:rPr>
            </w:pPr>
            <w:r>
              <w:rPr>
                <w:rFonts w:hint="eastAsia" w:ascii="宋体" w:hAnsi="宋体" w:cs="Arial"/>
                <w:szCs w:val="21"/>
              </w:rPr>
              <w:t>价格</w:t>
            </w:r>
          </w:p>
        </w:tc>
        <w:tc>
          <w:tcPr>
            <w:tcW w:w="454" w:type="pct"/>
            <w:vAlign w:val="center"/>
          </w:tcPr>
          <w:p>
            <w:pPr>
              <w:widowControl/>
              <w:spacing w:beforeLines="50" w:line="360" w:lineRule="auto"/>
              <w:jc w:val="center"/>
              <w:rPr>
                <w:rFonts w:ascii="宋体" w:hAnsi="宋体" w:cs="Arial"/>
                <w:szCs w:val="21"/>
              </w:rPr>
            </w:pPr>
            <w:r>
              <w:rPr>
                <w:rFonts w:hint="eastAsia" w:ascii="宋体" w:hAnsi="宋体" w:cs="Arial"/>
                <w:szCs w:val="21"/>
              </w:rPr>
              <w:t>3</w:t>
            </w:r>
            <w:r>
              <w:rPr>
                <w:rFonts w:ascii="宋体" w:hAnsi="宋体" w:cs="Arial"/>
                <w:szCs w:val="21"/>
              </w:rPr>
              <w:t>0</w:t>
            </w:r>
          </w:p>
        </w:tc>
        <w:tc>
          <w:tcPr>
            <w:tcW w:w="722" w:type="pct"/>
            <w:vAlign w:val="center"/>
          </w:tcPr>
          <w:p>
            <w:pPr>
              <w:widowControl/>
              <w:spacing w:beforeLines="50" w:line="360" w:lineRule="auto"/>
              <w:jc w:val="center"/>
              <w:rPr>
                <w:rFonts w:hint="eastAsia" w:ascii="宋体" w:hAnsi="宋体" w:eastAsia="宋体" w:cs="Arial"/>
                <w:szCs w:val="21"/>
                <w:lang w:eastAsia="zh-CN"/>
              </w:rPr>
            </w:pPr>
            <w:r>
              <w:rPr>
                <w:rFonts w:ascii="宋体" w:hAnsi="宋体" w:cs="Arial"/>
                <w:szCs w:val="21"/>
              </w:rPr>
              <w:t>评标</w:t>
            </w:r>
            <w:r>
              <w:rPr>
                <w:rFonts w:hint="eastAsia" w:ascii="宋体" w:hAnsi="宋体" w:cs="Arial"/>
                <w:szCs w:val="21"/>
                <w:lang w:eastAsia="zh-CN"/>
              </w:rPr>
              <w:t>报价（</w:t>
            </w:r>
            <w:r>
              <w:rPr>
                <w:rFonts w:hint="eastAsia" w:ascii="宋体" w:hAnsi="宋体" w:cs="Arial"/>
                <w:szCs w:val="21"/>
                <w:lang w:val="en-US" w:eastAsia="zh-CN"/>
              </w:rPr>
              <w:t>30分</w:t>
            </w:r>
            <w:r>
              <w:rPr>
                <w:rFonts w:hint="eastAsia" w:ascii="宋体" w:hAnsi="宋体" w:cs="Arial"/>
                <w:szCs w:val="21"/>
                <w:lang w:eastAsia="zh-CN"/>
              </w:rPr>
              <w:t>）</w:t>
            </w:r>
          </w:p>
        </w:tc>
        <w:tc>
          <w:tcPr>
            <w:tcW w:w="3418" w:type="pct"/>
            <w:vAlign w:val="center"/>
          </w:tcPr>
          <w:p>
            <w:pPr>
              <w:widowControl/>
              <w:snapToGrid w:val="0"/>
              <w:spacing w:line="360" w:lineRule="auto"/>
              <w:rPr>
                <w:rFonts w:ascii="宋体" w:hAnsi="宋体" w:cs="Arial"/>
                <w:szCs w:val="21"/>
              </w:rPr>
            </w:pPr>
            <w:r>
              <w:rPr>
                <w:rFonts w:hint="eastAsia" w:ascii="宋体" w:hAnsi="宋体" w:cs="宋体"/>
                <w:color w:val="000000"/>
                <w:sz w:val="24"/>
                <w:szCs w:val="24"/>
              </w:rPr>
              <w:t>满足采购文件实质要求且投标价格最低的投标报价为评标基准价，其价格分为满分。其价格分统一按照下列公式计算：</w:t>
            </w:r>
            <w:r>
              <w:rPr>
                <w:rFonts w:hint="eastAsia" w:ascii="宋体" w:hAnsi="宋体" w:cs="宋体"/>
                <w:color w:val="000000"/>
                <w:sz w:val="24"/>
                <w:szCs w:val="24"/>
              </w:rPr>
              <w:br w:type="textWrapping"/>
            </w:r>
            <w:r>
              <w:rPr>
                <w:rFonts w:hint="eastAsia" w:ascii="宋体" w:hAnsi="宋体" w:cs="宋体"/>
                <w:color w:val="000000"/>
                <w:sz w:val="24"/>
                <w:szCs w:val="24"/>
              </w:rPr>
              <w:t>投标报价得分=(评标基准价/投标人所报报价)* 30%*100。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0" w:hRule="atLeast"/>
        </w:trPr>
        <w:tc>
          <w:tcPr>
            <w:tcW w:w="407" w:type="pct"/>
            <w:vMerge w:val="restart"/>
            <w:vAlign w:val="center"/>
          </w:tcPr>
          <w:p>
            <w:pPr>
              <w:widowControl/>
              <w:spacing w:beforeLines="50" w:line="360" w:lineRule="auto"/>
              <w:jc w:val="center"/>
              <w:rPr>
                <w:rFonts w:ascii="宋体" w:hAnsi="宋体" w:cs="Arial"/>
                <w:szCs w:val="21"/>
              </w:rPr>
            </w:pPr>
            <w:r>
              <w:rPr>
                <w:rFonts w:ascii="宋体" w:hAnsi="宋体" w:cs="Arial"/>
                <w:szCs w:val="21"/>
              </w:rPr>
              <w:t>商务部分</w:t>
            </w:r>
          </w:p>
        </w:tc>
        <w:tc>
          <w:tcPr>
            <w:tcW w:w="454" w:type="pct"/>
            <w:vMerge w:val="restart"/>
            <w:vAlign w:val="center"/>
          </w:tcPr>
          <w:p>
            <w:pPr>
              <w:widowControl/>
              <w:spacing w:beforeLines="50" w:line="360" w:lineRule="auto"/>
              <w:jc w:val="center"/>
              <w:rPr>
                <w:rFonts w:ascii="宋体" w:hAnsi="宋体" w:cs="Arial"/>
                <w:szCs w:val="21"/>
              </w:rPr>
            </w:pPr>
            <w:r>
              <w:rPr>
                <w:rFonts w:hint="eastAsia" w:ascii="宋体" w:hAnsi="宋体" w:cs="Arial"/>
                <w:szCs w:val="21"/>
              </w:rPr>
              <w:t>10</w:t>
            </w:r>
          </w:p>
        </w:tc>
        <w:tc>
          <w:tcPr>
            <w:tcW w:w="722" w:type="pct"/>
            <w:vAlign w:val="center"/>
          </w:tcPr>
          <w:p>
            <w:pPr>
              <w:widowControl/>
              <w:spacing w:beforeLines="50" w:line="360" w:lineRule="auto"/>
              <w:jc w:val="center"/>
              <w:rPr>
                <w:rFonts w:ascii="宋体" w:hAnsi="宋体" w:cs="Arial"/>
                <w:color w:val="auto"/>
                <w:sz w:val="24"/>
                <w:szCs w:val="24"/>
                <w:u w:val="single"/>
              </w:rPr>
            </w:pPr>
            <w:r>
              <w:rPr>
                <w:rFonts w:hint="eastAsia" w:ascii="宋体" w:hAnsi="宋体" w:cs="Arial"/>
                <w:color w:val="auto"/>
                <w:sz w:val="24"/>
                <w:szCs w:val="24"/>
                <w:lang w:val="en-US" w:eastAsia="zh-CN"/>
              </w:rPr>
              <w:t>证书</w:t>
            </w:r>
            <w:r>
              <w:rPr>
                <w:rFonts w:ascii="宋体" w:hAnsi="宋体" w:cs="Arial"/>
                <w:color w:val="auto"/>
                <w:sz w:val="24"/>
                <w:szCs w:val="24"/>
              </w:rPr>
              <w:t>(</w:t>
            </w:r>
            <w:r>
              <w:rPr>
                <w:rFonts w:hint="eastAsia" w:ascii="宋体" w:hAnsi="宋体" w:cs="Arial"/>
                <w:color w:val="auto"/>
                <w:sz w:val="24"/>
                <w:szCs w:val="24"/>
                <w:lang w:val="en-US" w:eastAsia="zh-CN"/>
              </w:rPr>
              <w:t>6</w:t>
            </w:r>
            <w:r>
              <w:rPr>
                <w:rFonts w:ascii="宋体" w:hAnsi="宋体" w:cs="Arial"/>
                <w:color w:val="auto"/>
                <w:sz w:val="24"/>
                <w:szCs w:val="24"/>
              </w:rPr>
              <w:t>分)</w:t>
            </w:r>
          </w:p>
        </w:tc>
        <w:tc>
          <w:tcPr>
            <w:tcW w:w="3418" w:type="pct"/>
            <w:vAlign w:val="center"/>
          </w:tcPr>
          <w:p>
            <w:pPr>
              <w:widowControl/>
              <w:snapToGrid w:val="0"/>
              <w:spacing w:line="360" w:lineRule="auto"/>
              <w:rPr>
                <w:rFonts w:hint="eastAsia" w:ascii="宋体" w:hAnsi="宋体" w:eastAsia="宋体" w:cs="Arial"/>
                <w:color w:val="auto"/>
                <w:sz w:val="24"/>
                <w:szCs w:val="24"/>
                <w:lang w:eastAsia="zh-CN"/>
              </w:rPr>
            </w:pPr>
            <w:r>
              <w:rPr>
                <w:rFonts w:hint="eastAsia" w:ascii="宋体" w:hAnsi="宋体" w:cs="宋体"/>
                <w:color w:val="auto"/>
                <w:sz w:val="24"/>
                <w:szCs w:val="24"/>
                <w:lang w:eastAsia="zh-CN"/>
              </w:rPr>
              <w:t>质量管理体系认证证书，信息安全体系认证证书，每</w:t>
            </w:r>
            <w:r>
              <w:rPr>
                <w:rFonts w:hint="eastAsia" w:ascii="宋体" w:hAnsi="宋体" w:cs="宋体"/>
                <w:color w:val="auto"/>
                <w:sz w:val="24"/>
                <w:szCs w:val="24"/>
              </w:rPr>
              <w:t>提供</w:t>
            </w:r>
            <w:r>
              <w:rPr>
                <w:rFonts w:hint="eastAsia" w:ascii="宋体" w:hAnsi="宋体" w:cs="宋体"/>
                <w:color w:val="auto"/>
                <w:sz w:val="24"/>
                <w:szCs w:val="24"/>
                <w:lang w:val="en-US" w:eastAsia="zh-CN"/>
              </w:rPr>
              <w:t>1个</w:t>
            </w:r>
            <w:r>
              <w:rPr>
                <w:rFonts w:hint="eastAsia" w:ascii="宋体" w:hAnsi="宋体" w:cs="宋体"/>
                <w:color w:val="auto"/>
                <w:sz w:val="24"/>
                <w:szCs w:val="24"/>
                <w:lang w:eastAsia="zh-CN"/>
              </w:rPr>
              <w:t>证书</w:t>
            </w:r>
            <w:r>
              <w:rPr>
                <w:rFonts w:hint="eastAsia" w:ascii="宋体" w:hAnsi="宋体" w:cs="宋体"/>
                <w:color w:val="auto"/>
                <w:sz w:val="24"/>
                <w:szCs w:val="24"/>
              </w:rPr>
              <w:t>得</w:t>
            </w:r>
            <w:r>
              <w:rPr>
                <w:rFonts w:hint="eastAsia" w:ascii="宋体" w:hAnsi="宋体" w:cs="宋体"/>
                <w:color w:val="auto"/>
                <w:sz w:val="24"/>
                <w:szCs w:val="24"/>
                <w:lang w:val="en-US" w:eastAsia="zh-CN"/>
              </w:rPr>
              <w:t>3</w:t>
            </w:r>
            <w:r>
              <w:rPr>
                <w:rFonts w:hint="eastAsia" w:ascii="宋体" w:hAnsi="宋体" w:cs="宋体"/>
                <w:color w:val="auto"/>
                <w:sz w:val="24"/>
                <w:szCs w:val="24"/>
              </w:rPr>
              <w:t>分，</w:t>
            </w:r>
            <w:r>
              <w:rPr>
                <w:rFonts w:hint="eastAsia" w:ascii="宋体" w:hAnsi="宋体" w:cs="宋体"/>
                <w:color w:val="auto"/>
                <w:sz w:val="24"/>
                <w:szCs w:val="24"/>
                <w:lang w:eastAsia="zh-CN"/>
              </w:rPr>
              <w:t>最高得</w:t>
            </w:r>
            <w:r>
              <w:rPr>
                <w:rFonts w:hint="eastAsia" w:ascii="宋体" w:hAnsi="宋体" w:cs="宋体"/>
                <w:color w:val="auto"/>
                <w:sz w:val="24"/>
                <w:szCs w:val="24"/>
                <w:lang w:val="en-US" w:eastAsia="zh-CN"/>
              </w:rPr>
              <w:t>6分；</w:t>
            </w:r>
            <w:r>
              <w:rPr>
                <w:rFonts w:hint="eastAsia" w:ascii="宋体" w:hAnsi="宋体" w:cs="宋体"/>
                <w:color w:val="auto"/>
                <w:sz w:val="24"/>
                <w:szCs w:val="24"/>
              </w:rPr>
              <w:t>不提供则不得分。需提供证书复印件并加盖公章</w:t>
            </w:r>
            <w:r>
              <w:rPr>
                <w:rFonts w:hint="eastAsia" w:ascii="宋体" w:hAnsi="宋体" w:cs="宋体"/>
                <w:color w:val="auto"/>
                <w:sz w:val="24"/>
                <w:szCs w:val="24"/>
                <w:lang w:eastAsia="zh-CN"/>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90" w:hRule="atLeast"/>
        </w:trPr>
        <w:tc>
          <w:tcPr>
            <w:tcW w:w="407" w:type="pct"/>
            <w:vMerge w:val="continue"/>
            <w:vAlign w:val="center"/>
          </w:tcPr>
          <w:p>
            <w:pPr>
              <w:widowControl/>
              <w:spacing w:beforeLines="50" w:line="360" w:lineRule="auto"/>
              <w:jc w:val="center"/>
              <w:rPr>
                <w:rFonts w:ascii="宋体" w:hAnsi="宋体" w:cs="Arial"/>
                <w:szCs w:val="21"/>
              </w:rPr>
            </w:pPr>
          </w:p>
        </w:tc>
        <w:tc>
          <w:tcPr>
            <w:tcW w:w="454" w:type="pct"/>
            <w:vMerge w:val="continue"/>
            <w:vAlign w:val="center"/>
          </w:tcPr>
          <w:p>
            <w:pPr>
              <w:widowControl/>
              <w:spacing w:beforeLines="50" w:line="360" w:lineRule="auto"/>
              <w:jc w:val="center"/>
              <w:rPr>
                <w:rFonts w:ascii="宋体" w:hAnsi="宋体" w:cs="Arial"/>
                <w:szCs w:val="21"/>
              </w:rPr>
            </w:pPr>
          </w:p>
        </w:tc>
        <w:tc>
          <w:tcPr>
            <w:tcW w:w="722" w:type="pct"/>
            <w:vAlign w:val="center"/>
          </w:tcPr>
          <w:p>
            <w:pPr>
              <w:widowControl/>
              <w:spacing w:beforeLines="50" w:line="360" w:lineRule="auto"/>
              <w:jc w:val="center"/>
              <w:rPr>
                <w:rFonts w:ascii="宋体" w:hAnsi="宋体" w:cs="Arial"/>
                <w:color w:val="auto"/>
                <w:sz w:val="24"/>
                <w:szCs w:val="24"/>
              </w:rPr>
            </w:pPr>
            <w:r>
              <w:rPr>
                <w:rFonts w:hint="eastAsia" w:ascii="宋体" w:hAnsi="宋体" w:cs="Arial"/>
                <w:color w:val="auto"/>
                <w:sz w:val="24"/>
                <w:szCs w:val="24"/>
              </w:rPr>
              <w:t>业绩（</w:t>
            </w:r>
            <w:r>
              <w:rPr>
                <w:rFonts w:hint="eastAsia" w:ascii="宋体" w:hAnsi="宋体" w:cs="Arial"/>
                <w:color w:val="auto"/>
                <w:sz w:val="24"/>
                <w:szCs w:val="24"/>
                <w:lang w:val="en-US" w:eastAsia="zh-CN"/>
              </w:rPr>
              <w:t>4分</w:t>
            </w:r>
            <w:r>
              <w:rPr>
                <w:rFonts w:hint="eastAsia" w:ascii="宋体" w:hAnsi="宋体" w:cs="Arial"/>
                <w:color w:val="auto"/>
                <w:sz w:val="24"/>
                <w:szCs w:val="24"/>
              </w:rPr>
              <w:t>）</w:t>
            </w:r>
          </w:p>
        </w:tc>
        <w:tc>
          <w:tcPr>
            <w:tcW w:w="3418" w:type="pct"/>
            <w:vAlign w:val="center"/>
          </w:tcPr>
          <w:p>
            <w:pPr>
              <w:widowControl/>
              <w:snapToGrid w:val="0"/>
              <w:spacing w:line="360" w:lineRule="auto"/>
              <w:rPr>
                <w:rFonts w:ascii="宋体" w:hAnsi="宋体" w:cs="宋体"/>
                <w:color w:val="auto"/>
                <w:sz w:val="24"/>
                <w:szCs w:val="24"/>
              </w:rPr>
            </w:pPr>
            <w:r>
              <w:rPr>
                <w:rFonts w:hint="eastAsia" w:ascii="宋体" w:hAnsi="宋体" w:cs="宋体"/>
                <w:color w:val="auto"/>
                <w:sz w:val="24"/>
                <w:szCs w:val="24"/>
                <w:lang w:eastAsia="zh-CN"/>
              </w:rPr>
              <w:t>响应</w:t>
            </w:r>
            <w:r>
              <w:rPr>
                <w:rFonts w:hint="eastAsia" w:ascii="宋体" w:hAnsi="宋体" w:cs="宋体"/>
                <w:color w:val="auto"/>
                <w:sz w:val="24"/>
                <w:szCs w:val="24"/>
              </w:rPr>
              <w:t>人近三年（2020</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1月至今</w:t>
            </w:r>
            <w:r>
              <w:rPr>
                <w:rFonts w:hint="eastAsia" w:ascii="宋体" w:hAnsi="宋体" w:cs="宋体"/>
                <w:color w:val="auto"/>
                <w:sz w:val="24"/>
                <w:szCs w:val="24"/>
              </w:rPr>
              <w:t>）有类似机房装修改造项目相关案例的,每提供一项得</w:t>
            </w:r>
            <w:r>
              <w:rPr>
                <w:rFonts w:hint="eastAsia" w:ascii="宋体" w:hAnsi="宋体" w:cs="宋体"/>
                <w:color w:val="auto"/>
                <w:sz w:val="24"/>
                <w:szCs w:val="24"/>
                <w:lang w:val="en-US" w:eastAsia="zh-CN"/>
              </w:rPr>
              <w:t>1</w:t>
            </w:r>
            <w:r>
              <w:rPr>
                <w:rFonts w:hint="eastAsia" w:ascii="宋体" w:hAnsi="宋体" w:cs="宋体"/>
                <w:color w:val="auto"/>
                <w:sz w:val="24"/>
                <w:szCs w:val="24"/>
              </w:rPr>
              <w:t>分，最多得</w:t>
            </w:r>
            <w:r>
              <w:rPr>
                <w:rFonts w:hint="eastAsia" w:ascii="宋体" w:hAnsi="宋体" w:cs="宋体"/>
                <w:color w:val="auto"/>
                <w:sz w:val="24"/>
                <w:szCs w:val="24"/>
                <w:lang w:val="en-US" w:eastAsia="zh-CN"/>
              </w:rPr>
              <w:t>4</w:t>
            </w:r>
            <w:r>
              <w:rPr>
                <w:rFonts w:hint="eastAsia" w:ascii="宋体" w:hAnsi="宋体" w:cs="宋体"/>
                <w:color w:val="auto"/>
                <w:sz w:val="24"/>
                <w:szCs w:val="24"/>
              </w:rPr>
              <w:t>分。提供合同复印件,包含首页、签署盖章页以及显示上述内容相关页，否则不予认可。</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52" w:hRule="atLeast"/>
        </w:trPr>
        <w:tc>
          <w:tcPr>
            <w:tcW w:w="407" w:type="pct"/>
            <w:vMerge w:val="restart"/>
            <w:vAlign w:val="center"/>
          </w:tcPr>
          <w:p>
            <w:pPr>
              <w:widowControl/>
              <w:spacing w:beforeLines="50" w:line="360" w:lineRule="auto"/>
              <w:jc w:val="center"/>
              <w:rPr>
                <w:rFonts w:ascii="宋体" w:hAnsi="宋体" w:cs="Arial"/>
                <w:szCs w:val="21"/>
              </w:rPr>
            </w:pPr>
            <w:r>
              <w:rPr>
                <w:rFonts w:ascii="宋体" w:hAnsi="宋体" w:cs="Arial"/>
                <w:szCs w:val="21"/>
              </w:rPr>
              <w:t>技术部分</w:t>
            </w:r>
          </w:p>
          <w:p>
            <w:pPr>
              <w:widowControl/>
              <w:spacing w:beforeLines="50" w:line="360" w:lineRule="auto"/>
              <w:jc w:val="center"/>
              <w:rPr>
                <w:rFonts w:ascii="宋体" w:hAnsi="宋体" w:cs="Arial"/>
                <w:szCs w:val="21"/>
              </w:rPr>
            </w:pPr>
          </w:p>
          <w:p>
            <w:pPr>
              <w:spacing w:beforeLines="50" w:line="360" w:lineRule="auto"/>
              <w:jc w:val="center"/>
              <w:rPr>
                <w:rFonts w:ascii="宋体" w:hAnsi="宋体" w:cs="Arial"/>
                <w:szCs w:val="21"/>
              </w:rPr>
            </w:pPr>
          </w:p>
        </w:tc>
        <w:tc>
          <w:tcPr>
            <w:tcW w:w="454" w:type="pct"/>
            <w:vMerge w:val="restart"/>
            <w:vAlign w:val="center"/>
          </w:tcPr>
          <w:p>
            <w:pPr>
              <w:widowControl/>
              <w:spacing w:beforeLines="50" w:line="360" w:lineRule="auto"/>
              <w:jc w:val="center"/>
              <w:rPr>
                <w:rFonts w:ascii="宋体" w:hAnsi="宋体" w:cs="Arial"/>
                <w:szCs w:val="21"/>
              </w:rPr>
            </w:pPr>
            <w:r>
              <w:rPr>
                <w:rFonts w:hint="eastAsia" w:ascii="宋体" w:hAnsi="宋体" w:cs="Arial"/>
                <w:szCs w:val="21"/>
              </w:rPr>
              <w:t>60</w:t>
            </w:r>
          </w:p>
        </w:tc>
        <w:tc>
          <w:tcPr>
            <w:tcW w:w="722" w:type="pct"/>
            <w:vAlign w:val="center"/>
          </w:tcPr>
          <w:p>
            <w:pPr>
              <w:widowControl/>
              <w:spacing w:beforeLines="50" w:line="360" w:lineRule="auto"/>
              <w:jc w:val="center"/>
              <w:rPr>
                <w:rFonts w:ascii="宋体" w:hAnsi="宋体" w:cs="Arial"/>
                <w:sz w:val="24"/>
                <w:szCs w:val="24"/>
              </w:rPr>
            </w:pPr>
            <w:r>
              <w:rPr>
                <w:rFonts w:hint="eastAsia" w:ascii="宋体" w:hAnsi="宋体" w:cs="Arial"/>
                <w:sz w:val="24"/>
                <w:szCs w:val="24"/>
              </w:rPr>
              <w:t>技术条款应答</w:t>
            </w:r>
            <w:r>
              <w:rPr>
                <w:rFonts w:ascii="宋体" w:hAnsi="宋体" w:cs="Arial"/>
                <w:sz w:val="24"/>
                <w:szCs w:val="24"/>
              </w:rPr>
              <w:t>（</w:t>
            </w:r>
            <w:r>
              <w:rPr>
                <w:rFonts w:hint="eastAsia" w:ascii="宋体" w:hAnsi="宋体" w:cs="Arial"/>
                <w:sz w:val="24"/>
                <w:szCs w:val="24"/>
              </w:rPr>
              <w:t>50</w:t>
            </w:r>
            <w:r>
              <w:rPr>
                <w:rFonts w:ascii="宋体" w:hAnsi="宋体" w:cs="Arial"/>
                <w:sz w:val="24"/>
                <w:szCs w:val="24"/>
              </w:rPr>
              <w:t>分）</w:t>
            </w:r>
          </w:p>
        </w:tc>
        <w:tc>
          <w:tcPr>
            <w:tcW w:w="3418" w:type="pct"/>
            <w:vAlign w:val="center"/>
          </w:tcPr>
          <w:p>
            <w:pPr>
              <w:widowControl/>
              <w:snapToGrid w:val="0"/>
              <w:spacing w:line="360" w:lineRule="auto"/>
              <w:rPr>
                <w:rFonts w:ascii="宋体" w:hAnsi="宋体" w:cs="Arial"/>
                <w:sz w:val="24"/>
                <w:szCs w:val="24"/>
              </w:rPr>
            </w:pPr>
            <w:r>
              <w:rPr>
                <w:rFonts w:hint="eastAsia" w:ascii="宋体" w:hAnsi="宋体" w:cs="宋体"/>
                <w:color w:val="000000"/>
                <w:sz w:val="24"/>
                <w:szCs w:val="24"/>
              </w:rPr>
              <w:t>技术指标按重要性分为重要参数项（加注★项）和一般参数项（无加注★项）；所有技术指标全部响应无负偏离得50分；重要参数项如有负偏离，每一项扣减3分；一般参数项如有负偏离，每一项扣减1分。本项最低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6" w:hRule="atLeast"/>
        </w:trPr>
        <w:tc>
          <w:tcPr>
            <w:tcW w:w="407" w:type="pct"/>
            <w:vMerge w:val="continue"/>
            <w:vAlign w:val="center"/>
          </w:tcPr>
          <w:p>
            <w:pPr>
              <w:spacing w:beforeLines="50" w:line="360" w:lineRule="auto"/>
              <w:jc w:val="center"/>
              <w:rPr>
                <w:rFonts w:ascii="宋体" w:hAnsi="宋体" w:cs="Arial"/>
                <w:szCs w:val="21"/>
              </w:rPr>
            </w:pPr>
          </w:p>
        </w:tc>
        <w:tc>
          <w:tcPr>
            <w:tcW w:w="454" w:type="pct"/>
            <w:vMerge w:val="continue"/>
            <w:vAlign w:val="center"/>
          </w:tcPr>
          <w:p>
            <w:pPr>
              <w:spacing w:beforeLines="50" w:line="360" w:lineRule="auto"/>
              <w:jc w:val="center"/>
              <w:rPr>
                <w:rFonts w:ascii="宋体" w:hAnsi="宋体" w:cs="Arial"/>
                <w:szCs w:val="21"/>
              </w:rPr>
            </w:pPr>
          </w:p>
        </w:tc>
        <w:tc>
          <w:tcPr>
            <w:tcW w:w="722" w:type="pct"/>
          </w:tcPr>
          <w:p>
            <w:pPr>
              <w:widowControl/>
              <w:spacing w:beforeLines="50" w:line="360" w:lineRule="auto"/>
              <w:jc w:val="center"/>
              <w:rPr>
                <w:rFonts w:ascii="宋体" w:hAnsi="宋体" w:cs="Arial"/>
                <w:sz w:val="24"/>
                <w:szCs w:val="24"/>
              </w:rPr>
            </w:pPr>
            <w:r>
              <w:rPr>
                <w:rFonts w:hint="eastAsia" w:ascii="宋体" w:hAnsi="宋体" w:cs="Arial"/>
                <w:sz w:val="24"/>
                <w:szCs w:val="24"/>
              </w:rPr>
              <w:t>技术方案</w:t>
            </w:r>
          </w:p>
          <w:p>
            <w:pPr>
              <w:widowControl/>
              <w:spacing w:beforeLines="50" w:line="360" w:lineRule="auto"/>
              <w:jc w:val="center"/>
              <w:rPr>
                <w:rFonts w:ascii="宋体" w:hAnsi="宋体" w:cs="Arial"/>
                <w:bCs/>
                <w:sz w:val="24"/>
                <w:szCs w:val="24"/>
              </w:rPr>
            </w:pPr>
            <w:r>
              <w:rPr>
                <w:rFonts w:hint="eastAsia" w:ascii="宋体" w:hAnsi="宋体" w:cs="Arial"/>
                <w:sz w:val="24"/>
                <w:szCs w:val="24"/>
              </w:rPr>
              <w:t>(3分)</w:t>
            </w:r>
          </w:p>
        </w:tc>
        <w:tc>
          <w:tcPr>
            <w:tcW w:w="3418" w:type="pct"/>
          </w:tcPr>
          <w:p>
            <w:pPr>
              <w:widowControl/>
              <w:snapToGrid w:val="0"/>
              <w:spacing w:line="360" w:lineRule="auto"/>
              <w:rPr>
                <w:rFonts w:ascii="宋体" w:hAnsi="宋体" w:cs="Arial"/>
                <w:bCs/>
                <w:sz w:val="24"/>
                <w:szCs w:val="24"/>
              </w:rPr>
            </w:pPr>
            <w:r>
              <w:rPr>
                <w:rFonts w:hint="eastAsia" w:ascii="宋体" w:hAnsi="宋体" w:cs="Arial"/>
                <w:sz w:val="24"/>
                <w:szCs w:val="24"/>
              </w:rPr>
              <w:t>项目方案设计层次清晰，考虑全面，支持弹性扩展，技术线路成熟可靠，功能结构设计合理完善，逻辑关系清晰，总体方案完整合理，满足本项目采购需求。未提供得0分。（优：3分，良：2分，一般：1分；差：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02" w:hRule="atLeast"/>
        </w:trPr>
        <w:tc>
          <w:tcPr>
            <w:tcW w:w="407" w:type="pct"/>
            <w:vMerge w:val="continue"/>
            <w:vAlign w:val="center"/>
          </w:tcPr>
          <w:p>
            <w:pPr>
              <w:spacing w:beforeLines="50" w:line="360" w:lineRule="auto"/>
              <w:jc w:val="center"/>
              <w:rPr>
                <w:rFonts w:ascii="宋体" w:hAnsi="宋体" w:cs="Arial"/>
                <w:szCs w:val="21"/>
              </w:rPr>
            </w:pPr>
          </w:p>
        </w:tc>
        <w:tc>
          <w:tcPr>
            <w:tcW w:w="454" w:type="pct"/>
            <w:vMerge w:val="continue"/>
            <w:vAlign w:val="center"/>
          </w:tcPr>
          <w:p>
            <w:pPr>
              <w:spacing w:beforeLines="50" w:line="360" w:lineRule="auto"/>
              <w:jc w:val="center"/>
              <w:rPr>
                <w:rFonts w:ascii="宋体" w:hAnsi="宋体" w:cs="Arial"/>
                <w:szCs w:val="21"/>
              </w:rPr>
            </w:pPr>
          </w:p>
        </w:tc>
        <w:tc>
          <w:tcPr>
            <w:tcW w:w="722" w:type="pct"/>
          </w:tcPr>
          <w:p>
            <w:pPr>
              <w:widowControl/>
              <w:spacing w:beforeLines="50" w:line="360" w:lineRule="auto"/>
              <w:jc w:val="center"/>
              <w:rPr>
                <w:rFonts w:ascii="宋体" w:hAnsi="宋体"/>
                <w:sz w:val="24"/>
                <w:szCs w:val="24"/>
              </w:rPr>
            </w:pPr>
            <w:r>
              <w:rPr>
                <w:rFonts w:hint="eastAsia" w:ascii="宋体" w:hAnsi="宋体"/>
                <w:sz w:val="24"/>
                <w:szCs w:val="24"/>
              </w:rPr>
              <w:t>施工方案</w:t>
            </w:r>
          </w:p>
          <w:p>
            <w:pPr>
              <w:widowControl/>
              <w:spacing w:beforeLines="50" w:line="360" w:lineRule="auto"/>
              <w:jc w:val="center"/>
              <w:rPr>
                <w:rFonts w:ascii="宋体" w:hAnsi="宋体" w:cs="Arial"/>
                <w:bCs/>
                <w:sz w:val="24"/>
                <w:szCs w:val="24"/>
              </w:rPr>
            </w:pPr>
            <w:r>
              <w:rPr>
                <w:rFonts w:hint="eastAsia" w:ascii="宋体" w:hAnsi="宋体"/>
                <w:sz w:val="24"/>
                <w:szCs w:val="24"/>
              </w:rPr>
              <w:t>（3分）</w:t>
            </w:r>
          </w:p>
        </w:tc>
        <w:tc>
          <w:tcPr>
            <w:tcW w:w="3418" w:type="pct"/>
          </w:tcPr>
          <w:p>
            <w:pPr>
              <w:widowControl/>
              <w:snapToGrid w:val="0"/>
              <w:spacing w:line="360" w:lineRule="auto"/>
              <w:rPr>
                <w:rFonts w:ascii="宋体" w:hAnsi="宋体" w:cs="Arial"/>
                <w:sz w:val="24"/>
                <w:szCs w:val="24"/>
              </w:rPr>
            </w:pPr>
            <w:r>
              <w:rPr>
                <w:rFonts w:hint="eastAsia" w:ascii="宋体" w:hAnsi="宋体" w:cs="宋体"/>
                <w:color w:val="000000"/>
                <w:sz w:val="24"/>
                <w:szCs w:val="24"/>
              </w:rPr>
              <w:t>针对本项目提供施工方案，包括但不限于（1）总体布置及工期安排；（2）施工重点、难点技术分析；（3）工期保证措施；（4）突发事件应急预案；（5）与各方协调、配合工作方案；（6）提供验收手册和验收工具，并承担相关费用。未提供得0分。</w:t>
            </w:r>
            <w:r>
              <w:rPr>
                <w:rFonts w:hint="eastAsia" w:ascii="宋体" w:hAnsi="宋体" w:cs="Arial"/>
                <w:sz w:val="24"/>
                <w:szCs w:val="24"/>
              </w:rPr>
              <w:t>（优：3分，良：2分，一般：1分；差：0分）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6" w:hRule="atLeast"/>
        </w:trPr>
        <w:tc>
          <w:tcPr>
            <w:tcW w:w="407" w:type="pct"/>
            <w:vMerge w:val="continue"/>
            <w:vAlign w:val="center"/>
          </w:tcPr>
          <w:p>
            <w:pPr>
              <w:widowControl/>
              <w:spacing w:beforeLines="50" w:line="360" w:lineRule="auto"/>
              <w:jc w:val="center"/>
              <w:rPr>
                <w:rFonts w:ascii="宋体" w:hAnsi="宋体" w:cs="Arial"/>
                <w:szCs w:val="21"/>
              </w:rPr>
            </w:pPr>
          </w:p>
        </w:tc>
        <w:tc>
          <w:tcPr>
            <w:tcW w:w="454" w:type="pct"/>
            <w:vMerge w:val="continue"/>
            <w:vAlign w:val="center"/>
          </w:tcPr>
          <w:p>
            <w:pPr>
              <w:spacing w:beforeLines="50" w:line="360" w:lineRule="auto"/>
              <w:jc w:val="center"/>
              <w:rPr>
                <w:rFonts w:ascii="宋体" w:hAnsi="宋体" w:cs="Arial"/>
                <w:szCs w:val="21"/>
              </w:rPr>
            </w:pPr>
          </w:p>
        </w:tc>
        <w:tc>
          <w:tcPr>
            <w:tcW w:w="722" w:type="pct"/>
            <w:vAlign w:val="center"/>
          </w:tcPr>
          <w:p>
            <w:pPr>
              <w:widowControl/>
              <w:spacing w:beforeLines="50" w:line="360" w:lineRule="auto"/>
              <w:jc w:val="center"/>
              <w:rPr>
                <w:rFonts w:ascii="宋体" w:hAnsi="宋体" w:cs="Arial"/>
                <w:bCs/>
                <w:sz w:val="24"/>
                <w:szCs w:val="24"/>
              </w:rPr>
            </w:pPr>
            <w:r>
              <w:rPr>
                <w:rFonts w:hint="eastAsia" w:ascii="宋体" w:hAnsi="宋体" w:cs="Arial"/>
                <w:bCs/>
                <w:sz w:val="24"/>
                <w:szCs w:val="24"/>
              </w:rPr>
              <w:t>项目培训</w:t>
            </w:r>
          </w:p>
          <w:p>
            <w:pPr>
              <w:widowControl/>
              <w:spacing w:beforeLines="50" w:line="360" w:lineRule="auto"/>
              <w:jc w:val="center"/>
              <w:rPr>
                <w:rFonts w:ascii="宋体" w:hAnsi="宋体" w:cs="Arial"/>
                <w:bCs/>
                <w:sz w:val="24"/>
                <w:szCs w:val="24"/>
              </w:rPr>
            </w:pPr>
            <w:r>
              <w:rPr>
                <w:rFonts w:ascii="宋体" w:hAnsi="宋体" w:cs="Arial"/>
                <w:sz w:val="24"/>
                <w:szCs w:val="24"/>
              </w:rPr>
              <w:t>（</w:t>
            </w:r>
            <w:r>
              <w:rPr>
                <w:rFonts w:hint="eastAsia" w:ascii="宋体" w:hAnsi="宋体" w:cs="Arial"/>
                <w:sz w:val="24"/>
                <w:szCs w:val="24"/>
              </w:rPr>
              <w:t>2</w:t>
            </w:r>
            <w:r>
              <w:rPr>
                <w:rFonts w:ascii="宋体" w:hAnsi="宋体" w:cs="Arial"/>
                <w:sz w:val="24"/>
                <w:szCs w:val="24"/>
              </w:rPr>
              <w:t>分）</w:t>
            </w:r>
          </w:p>
        </w:tc>
        <w:tc>
          <w:tcPr>
            <w:tcW w:w="3418" w:type="pct"/>
            <w:vAlign w:val="center"/>
          </w:tcPr>
          <w:p>
            <w:pPr>
              <w:widowControl/>
              <w:snapToGrid w:val="0"/>
              <w:spacing w:line="360" w:lineRule="auto"/>
              <w:rPr>
                <w:rFonts w:ascii="宋体" w:hAnsi="宋体" w:cs="Arial"/>
                <w:sz w:val="24"/>
                <w:szCs w:val="24"/>
              </w:rPr>
            </w:pPr>
            <w:r>
              <w:rPr>
                <w:rFonts w:hint="eastAsia" w:ascii="宋体" w:hAnsi="宋体" w:cs="宋体"/>
                <w:color w:val="000000"/>
                <w:sz w:val="24"/>
                <w:szCs w:val="24"/>
              </w:rPr>
              <w:t>提供培训，并对培训内容培训对象、培训时间做出计划，包括培训时间、地点、人次、方式、预计培训结果，保证采购人技术人员、操作人员掌握仪器的基本操作和日常维护。</w:t>
            </w:r>
            <w:r>
              <w:rPr>
                <w:rFonts w:hint="eastAsia" w:ascii="宋体" w:hAnsi="宋体" w:cs="宋体"/>
                <w:color w:val="000000"/>
                <w:sz w:val="24"/>
                <w:szCs w:val="24"/>
              </w:rPr>
              <w:br w:type="textWrapping"/>
            </w:r>
            <w:r>
              <w:rPr>
                <w:rFonts w:hint="eastAsia" w:ascii="宋体" w:hAnsi="宋体" w:cs="宋体"/>
                <w:color w:val="000000"/>
                <w:sz w:val="24"/>
                <w:szCs w:val="24"/>
              </w:rPr>
              <w:t>上述内容全部满足得2分，每有一个缺漏项扣0.5分。本项目最低0分。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346" w:hRule="atLeast"/>
        </w:trPr>
        <w:tc>
          <w:tcPr>
            <w:tcW w:w="407" w:type="pct"/>
            <w:vAlign w:val="center"/>
          </w:tcPr>
          <w:p>
            <w:pPr>
              <w:widowControl/>
              <w:spacing w:beforeLines="50" w:line="360" w:lineRule="auto"/>
              <w:jc w:val="center"/>
              <w:rPr>
                <w:rFonts w:ascii="宋体" w:hAnsi="宋体" w:cs="Arial"/>
                <w:szCs w:val="21"/>
              </w:rPr>
            </w:pPr>
          </w:p>
        </w:tc>
        <w:tc>
          <w:tcPr>
            <w:tcW w:w="454" w:type="pct"/>
            <w:vAlign w:val="center"/>
          </w:tcPr>
          <w:p>
            <w:pPr>
              <w:spacing w:beforeLines="50" w:line="360" w:lineRule="auto"/>
              <w:jc w:val="center"/>
              <w:rPr>
                <w:rFonts w:ascii="宋体" w:hAnsi="宋体" w:cs="Arial"/>
                <w:szCs w:val="21"/>
              </w:rPr>
            </w:pPr>
          </w:p>
        </w:tc>
        <w:tc>
          <w:tcPr>
            <w:tcW w:w="722" w:type="pct"/>
            <w:vAlign w:val="center"/>
          </w:tcPr>
          <w:p>
            <w:pPr>
              <w:widowControl/>
              <w:spacing w:beforeLines="50" w:line="360" w:lineRule="auto"/>
              <w:ind w:left="240" w:hanging="240" w:hangingChars="100"/>
              <w:jc w:val="center"/>
              <w:rPr>
                <w:rFonts w:ascii="宋体" w:hAnsi="宋体" w:cs="Arial"/>
                <w:sz w:val="24"/>
                <w:szCs w:val="24"/>
              </w:rPr>
            </w:pPr>
            <w:r>
              <w:rPr>
                <w:rFonts w:hint="eastAsia" w:ascii="宋体" w:hAnsi="宋体" w:cs="Arial"/>
                <w:sz w:val="24"/>
                <w:szCs w:val="24"/>
              </w:rPr>
              <w:t>售后服务</w:t>
            </w:r>
          </w:p>
          <w:p>
            <w:pPr>
              <w:widowControl/>
              <w:spacing w:beforeLines="50" w:line="360" w:lineRule="auto"/>
              <w:ind w:left="240" w:hanging="240" w:hangingChars="100"/>
              <w:jc w:val="center"/>
              <w:rPr>
                <w:rFonts w:ascii="宋体" w:hAnsi="宋体" w:cs="Arial"/>
                <w:sz w:val="24"/>
                <w:szCs w:val="24"/>
              </w:rPr>
            </w:pPr>
            <w:r>
              <w:rPr>
                <w:rFonts w:hint="eastAsia" w:ascii="宋体" w:hAnsi="宋体" w:cs="Arial"/>
                <w:sz w:val="24"/>
                <w:szCs w:val="24"/>
              </w:rPr>
              <w:t>（2分）</w:t>
            </w:r>
          </w:p>
        </w:tc>
        <w:tc>
          <w:tcPr>
            <w:tcW w:w="3418" w:type="pct"/>
            <w:vAlign w:val="center"/>
          </w:tcPr>
          <w:p>
            <w:pPr>
              <w:widowControl/>
              <w:snapToGrid w:val="0"/>
              <w:spacing w:line="360" w:lineRule="auto"/>
              <w:rPr>
                <w:rFonts w:ascii="宋体" w:hAnsi="宋体" w:cs="宋体"/>
                <w:color w:val="000000"/>
                <w:sz w:val="24"/>
                <w:szCs w:val="24"/>
              </w:rPr>
            </w:pPr>
            <w:r>
              <w:rPr>
                <w:rFonts w:hint="eastAsia" w:ascii="宋体" w:hAnsi="宋体" w:cs="宋体"/>
                <w:color w:val="000000"/>
                <w:sz w:val="24"/>
                <w:szCs w:val="24"/>
              </w:rPr>
              <w:t>1、提供有效服务网点人员名单。</w:t>
            </w:r>
            <w:r>
              <w:rPr>
                <w:rFonts w:hint="eastAsia" w:ascii="宋体" w:hAnsi="宋体" w:cs="宋体"/>
                <w:color w:val="000000"/>
                <w:sz w:val="24"/>
                <w:szCs w:val="24"/>
              </w:rPr>
              <w:br w:type="textWrapping"/>
            </w:r>
            <w:r>
              <w:rPr>
                <w:rFonts w:hint="eastAsia" w:ascii="宋体" w:hAnsi="宋体" w:cs="宋体"/>
                <w:color w:val="000000"/>
                <w:sz w:val="24"/>
                <w:szCs w:val="24"/>
              </w:rPr>
              <w:t>2、维修响应时间及维保期内巡检次数满足采购文件要求。</w:t>
            </w:r>
            <w:r>
              <w:rPr>
                <w:rFonts w:hint="eastAsia" w:ascii="宋体" w:hAnsi="宋体" w:cs="宋体"/>
                <w:color w:val="000000"/>
                <w:sz w:val="24"/>
                <w:szCs w:val="24"/>
              </w:rPr>
              <w:br w:type="textWrapping"/>
            </w:r>
            <w:r>
              <w:rPr>
                <w:rFonts w:hint="eastAsia" w:ascii="宋体" w:hAnsi="宋体" w:cs="宋体"/>
                <w:color w:val="000000"/>
                <w:sz w:val="24"/>
                <w:szCs w:val="24"/>
              </w:rPr>
              <w:t>上述内容全部满足得2分，每有一项不满足扣1分。本项目最低0分。</w:t>
            </w:r>
          </w:p>
        </w:tc>
      </w:tr>
      <w:bookmarkEnd w:id="4"/>
    </w:tbl>
    <w:p>
      <w:pPr>
        <w:jc w:val="left"/>
        <w:rPr>
          <w:sz w:val="24"/>
          <w:szCs w:val="24"/>
        </w:rPr>
      </w:pPr>
    </w:p>
    <w:p>
      <w:pPr>
        <w:pStyle w:val="38"/>
        <w:ind w:firstLine="0" w:firstLineChars="0"/>
        <w:rPr>
          <w:rFonts w:hint="default"/>
          <w:sz w:val="24"/>
          <w:szCs w:val="24"/>
        </w:rPr>
      </w:pPr>
      <w:r>
        <w:rPr>
          <w:sz w:val="24"/>
          <w:szCs w:val="24"/>
        </w:rPr>
        <w:t>注：1.非专门面向中小企业采购标的执行价格扣除后参与评审的优惠政策，具体如下：《政府采购促进中小企业发展管理办法》（财库﹝2020﹞46 号）的规定，对满足价格扣除条件且在响应文件中提交了《中小企业声明函》的响应人，其响应报价中由小型和微型企业制造的产品、提供的服务的报价扣除10%后参与评审。监狱企业提供了由省级以上监狱管理局（北京市含教育矫治局）、戒毒管理局（含新疆生产建设兵团）出具的属于监狱企业的证明文件的，视同小型和微型企业。残疾人福利性单位提供了《残疾人福利性单位声明函》，视同小型、微型企业。残疾人福利性单位属于小型、微型企业的，不重复享受政策。</w:t>
      </w:r>
    </w:p>
    <w:p/>
    <w:p/>
    <w:sectPr>
      <w:headerReference r:id="rId11" w:type="default"/>
      <w:pgSz w:w="11907" w:h="16840"/>
      <w:pgMar w:top="1814" w:right="1588" w:bottom="1588" w:left="1588" w:header="851" w:footer="737"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tabs>
        <w:tab w:val="left" w:pos="282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16</w:t>
    </w:r>
    <w:r>
      <w:rPr>
        <w:lang w:val="zh-CN"/>
      </w:rPr>
      <w:fldChar w:fldCharType="end"/>
    </w:r>
  </w:p>
  <w:p>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PAGE   \* MERGEFORMAT</w:instrText>
    </w:r>
    <w:r>
      <w:fldChar w:fldCharType="separate"/>
    </w:r>
    <w:r>
      <w:rPr>
        <w:lang w:val="zh-CN"/>
      </w:rPr>
      <w:t>45</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rPr>
        <w:rFonts w:cs="宋体"/>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黑体" w:eastAsia="黑体"/>
        <w:sz w:val="21"/>
        <w:szCs w:val="21"/>
      </w:rPr>
    </w:pPr>
    <w:r>
      <w:rPr>
        <w:rFonts w:hint="eastAsia" w:ascii="宋体" w:hAnsi="宋体"/>
      </w:rPr>
      <w:t>采购文件                                                                               附件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rPr>
        <w:rFonts w:ascii="黑体" w:eastAsia="黑体"/>
        <w:sz w:val="21"/>
        <w:szCs w:val="21"/>
      </w:rPr>
    </w:pPr>
    <w:r>
      <w:rPr>
        <w:rFonts w:hint="eastAsia" w:ascii="宋体" w:hAnsi="宋体"/>
      </w:rPr>
      <w:t>采购文件                                                                               附件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rPr>
        <w:rFonts w:hint="eastAsia" w:ascii="宋体" w:hAnsi="宋体"/>
      </w:rPr>
      <w:t>采购文件                                                                          附件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8288E3"/>
    <w:multiLevelType w:val="singleLevel"/>
    <w:tmpl w:val="A18288E3"/>
    <w:lvl w:ilvl="0" w:tentative="0">
      <w:start w:val="1"/>
      <w:numFmt w:val="chineseCounting"/>
      <w:suff w:val="space"/>
      <w:lvlText w:val="第%1部分"/>
      <w:lvlJc w:val="left"/>
      <w:pPr>
        <w:ind w:left="1680" w:firstLine="0"/>
      </w:pPr>
      <w:rPr>
        <w:rFonts w:hint="eastAsia"/>
      </w:rPr>
    </w:lvl>
  </w:abstractNum>
  <w:abstractNum w:abstractNumId="1">
    <w:nsid w:val="CD165430"/>
    <w:multiLevelType w:val="singleLevel"/>
    <w:tmpl w:val="CD165430"/>
    <w:lvl w:ilvl="0" w:tentative="0">
      <w:start w:val="1"/>
      <w:numFmt w:val="decimal"/>
      <w:suff w:val="nothing"/>
      <w:lvlText w:val="（%1）"/>
      <w:lvlJc w:val="left"/>
      <w:pPr>
        <w:ind w:left="1381" w:firstLine="0"/>
      </w:pPr>
    </w:lvl>
  </w:abstractNum>
  <w:abstractNum w:abstractNumId="2">
    <w:nsid w:val="FC5B7DDE"/>
    <w:multiLevelType w:val="singleLevel"/>
    <w:tmpl w:val="FC5B7DDE"/>
    <w:lvl w:ilvl="0" w:tentative="0">
      <w:start w:val="2"/>
      <w:numFmt w:val="decimal"/>
      <w:suff w:val="nothing"/>
      <w:lvlText w:val="%1、"/>
      <w:lvlJc w:val="left"/>
    </w:lvl>
  </w:abstractNum>
  <w:abstractNum w:abstractNumId="3">
    <w:nsid w:val="097C3ABE"/>
    <w:multiLevelType w:val="singleLevel"/>
    <w:tmpl w:val="097C3ABE"/>
    <w:lvl w:ilvl="0" w:tentative="0">
      <w:start w:val="1"/>
      <w:numFmt w:val="decimal"/>
      <w:suff w:val="nothing"/>
      <w:lvlText w:val="（%1）"/>
      <w:lvlJc w:val="left"/>
      <w:pPr>
        <w:ind w:left="1260" w:firstLine="0"/>
      </w:pPr>
      <w:rPr>
        <w:rFonts w:hint="default"/>
        <w:b/>
        <w:bCs/>
        <w:sz w:val="24"/>
        <w:szCs w:val="24"/>
      </w:rPr>
    </w:lvl>
  </w:abstractNum>
  <w:abstractNum w:abstractNumId="4">
    <w:nsid w:val="171B1E27"/>
    <w:multiLevelType w:val="multilevel"/>
    <w:tmpl w:val="171B1E27"/>
    <w:lvl w:ilvl="0" w:tentative="0">
      <w:start w:val="5"/>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5">
    <w:nsid w:val="2635785C"/>
    <w:multiLevelType w:val="multilevel"/>
    <w:tmpl w:val="2635785C"/>
    <w:lvl w:ilvl="0" w:tentative="0">
      <w:start w:val="4"/>
      <w:numFmt w:val="decimal"/>
      <w:lvlText w:val="%1"/>
      <w:lvlJc w:val="left"/>
      <w:pPr>
        <w:tabs>
          <w:tab w:val="left" w:pos="780"/>
        </w:tabs>
        <w:ind w:left="780" w:hanging="780"/>
      </w:pPr>
      <w:rPr>
        <w:rFonts w:hint="default"/>
      </w:rPr>
    </w:lvl>
    <w:lvl w:ilvl="1" w:tentative="0">
      <w:start w:val="1"/>
      <w:numFmt w:val="decimal"/>
      <w:lvlText w:val="%1.%2"/>
      <w:lvlJc w:val="left"/>
      <w:pPr>
        <w:tabs>
          <w:tab w:val="left" w:pos="1425"/>
        </w:tabs>
        <w:ind w:left="1425" w:hanging="780"/>
      </w:pPr>
      <w:rPr>
        <w:rFonts w:hint="default"/>
      </w:rPr>
    </w:lvl>
    <w:lvl w:ilvl="2" w:tentative="0">
      <w:start w:val="1"/>
      <w:numFmt w:val="decimal"/>
      <w:lvlText w:val="%1.%2.%3"/>
      <w:lvlJc w:val="left"/>
      <w:pPr>
        <w:tabs>
          <w:tab w:val="left" w:pos="2070"/>
        </w:tabs>
        <w:ind w:left="2070" w:hanging="780"/>
      </w:pPr>
      <w:rPr>
        <w:rFonts w:hint="default"/>
      </w:rPr>
    </w:lvl>
    <w:lvl w:ilvl="3" w:tentative="0">
      <w:start w:val="1"/>
      <w:numFmt w:val="decimal"/>
      <w:lvlText w:val="%1.%2.%3.%4"/>
      <w:lvlJc w:val="left"/>
      <w:pPr>
        <w:tabs>
          <w:tab w:val="left" w:pos="2715"/>
        </w:tabs>
        <w:ind w:left="2715" w:hanging="780"/>
      </w:pPr>
      <w:rPr>
        <w:rFonts w:hint="default"/>
      </w:rPr>
    </w:lvl>
    <w:lvl w:ilvl="4" w:tentative="0">
      <w:start w:val="1"/>
      <w:numFmt w:val="decimal"/>
      <w:lvlText w:val="%1.%2.%3.%4.%5"/>
      <w:lvlJc w:val="left"/>
      <w:pPr>
        <w:tabs>
          <w:tab w:val="left" w:pos="3360"/>
        </w:tabs>
        <w:ind w:left="3360" w:hanging="780"/>
      </w:pPr>
      <w:rPr>
        <w:rFonts w:hint="default"/>
      </w:rPr>
    </w:lvl>
    <w:lvl w:ilvl="5" w:tentative="0">
      <w:start w:val="1"/>
      <w:numFmt w:val="decimal"/>
      <w:lvlText w:val="%1.%2.%3.%4.%5.%6"/>
      <w:lvlJc w:val="left"/>
      <w:pPr>
        <w:tabs>
          <w:tab w:val="left" w:pos="4005"/>
        </w:tabs>
        <w:ind w:left="4005" w:hanging="780"/>
      </w:pPr>
      <w:rPr>
        <w:rFonts w:hint="default"/>
      </w:rPr>
    </w:lvl>
    <w:lvl w:ilvl="6" w:tentative="0">
      <w:start w:val="1"/>
      <w:numFmt w:val="decimal"/>
      <w:lvlText w:val="%1.%2.%3.%4.%5.%6.%7"/>
      <w:lvlJc w:val="left"/>
      <w:pPr>
        <w:tabs>
          <w:tab w:val="left" w:pos="4650"/>
        </w:tabs>
        <w:ind w:left="4650" w:hanging="780"/>
      </w:pPr>
      <w:rPr>
        <w:rFonts w:hint="default"/>
      </w:rPr>
    </w:lvl>
    <w:lvl w:ilvl="7" w:tentative="0">
      <w:start w:val="1"/>
      <w:numFmt w:val="decimal"/>
      <w:lvlText w:val="%1.%2.%3.%4.%5.%6.%7.%8"/>
      <w:lvlJc w:val="left"/>
      <w:pPr>
        <w:tabs>
          <w:tab w:val="left" w:pos="5295"/>
        </w:tabs>
        <w:ind w:left="5295" w:hanging="780"/>
      </w:pPr>
      <w:rPr>
        <w:rFonts w:hint="default"/>
      </w:rPr>
    </w:lvl>
    <w:lvl w:ilvl="8" w:tentative="0">
      <w:start w:val="1"/>
      <w:numFmt w:val="decimal"/>
      <w:lvlText w:val="%1.%2.%3.%4.%5.%6.%7.%8.%9"/>
      <w:lvlJc w:val="left"/>
      <w:pPr>
        <w:tabs>
          <w:tab w:val="left" w:pos="5940"/>
        </w:tabs>
        <w:ind w:left="5940" w:hanging="780"/>
      </w:pPr>
      <w:rPr>
        <w:rFonts w:hint="default"/>
      </w:rPr>
    </w:lvl>
  </w:abstractNum>
  <w:abstractNum w:abstractNumId="6">
    <w:nsid w:val="2AFA2696"/>
    <w:multiLevelType w:val="singleLevel"/>
    <w:tmpl w:val="2AFA2696"/>
    <w:lvl w:ilvl="0" w:tentative="0">
      <w:start w:val="1"/>
      <w:numFmt w:val="chineseCounting"/>
      <w:suff w:val="space"/>
      <w:lvlText w:val="第%1部分"/>
      <w:lvlJc w:val="left"/>
      <w:rPr>
        <w:rFonts w:hint="eastAsia"/>
      </w:rPr>
    </w:lvl>
  </w:abstractNum>
  <w:abstractNum w:abstractNumId="7">
    <w:nsid w:val="2DF6718F"/>
    <w:multiLevelType w:val="singleLevel"/>
    <w:tmpl w:val="2DF6718F"/>
    <w:lvl w:ilvl="0" w:tentative="0">
      <w:start w:val="1"/>
      <w:numFmt w:val="decimal"/>
      <w:lvlText w:val="(%1)"/>
      <w:lvlJc w:val="left"/>
      <w:pPr>
        <w:tabs>
          <w:tab w:val="left" w:pos="960"/>
        </w:tabs>
        <w:ind w:left="960" w:hanging="420"/>
      </w:pPr>
      <w:rPr>
        <w:rFonts w:hint="eastAsia"/>
      </w:rPr>
    </w:lvl>
  </w:abstractNum>
  <w:abstractNum w:abstractNumId="8">
    <w:nsid w:val="438036B2"/>
    <w:multiLevelType w:val="multilevel"/>
    <w:tmpl w:val="438036B2"/>
    <w:lvl w:ilvl="0" w:tentative="0">
      <w:start w:val="9"/>
      <w:numFmt w:val="decimal"/>
      <w:suff w:val="space"/>
      <w:lvlText w:val="%1."/>
      <w:lvlJc w:val="left"/>
      <w:pPr>
        <w:ind w:left="270" w:hanging="270"/>
      </w:pPr>
      <w:rPr>
        <w:rFonts w:hint="eastAsia"/>
      </w:rPr>
    </w:lvl>
    <w:lvl w:ilvl="1" w:tentative="0">
      <w:start w:val="1"/>
      <w:numFmt w:val="decimal"/>
      <w:isLgl/>
      <w:lvlText w:val="%1.%2"/>
      <w:lvlJc w:val="left"/>
      <w:pPr>
        <w:tabs>
          <w:tab w:val="left" w:pos="1095"/>
        </w:tabs>
        <w:ind w:left="1095" w:hanging="450"/>
      </w:pPr>
      <w:rPr>
        <w:rFonts w:hint="eastAsia"/>
      </w:rPr>
    </w:lvl>
    <w:lvl w:ilvl="2" w:tentative="0">
      <w:start w:val="1"/>
      <w:numFmt w:val="decimal"/>
      <w:isLgl/>
      <w:lvlText w:val="%1.%2.%3"/>
      <w:lvlJc w:val="left"/>
      <w:pPr>
        <w:tabs>
          <w:tab w:val="left" w:pos="1740"/>
        </w:tabs>
        <w:ind w:left="1740" w:hanging="450"/>
      </w:pPr>
      <w:rPr>
        <w:rFonts w:hint="eastAsia"/>
      </w:rPr>
    </w:lvl>
    <w:lvl w:ilvl="3" w:tentative="0">
      <w:start w:val="1"/>
      <w:numFmt w:val="decimal"/>
      <w:isLgl/>
      <w:lvlText w:val="%1.%2.%3.%4"/>
      <w:lvlJc w:val="left"/>
      <w:pPr>
        <w:tabs>
          <w:tab w:val="left" w:pos="2385"/>
        </w:tabs>
        <w:ind w:left="2385" w:hanging="450"/>
      </w:pPr>
      <w:rPr>
        <w:rFonts w:hint="eastAsia"/>
      </w:rPr>
    </w:lvl>
    <w:lvl w:ilvl="4" w:tentative="0">
      <w:start w:val="1"/>
      <w:numFmt w:val="decimal"/>
      <w:isLgl/>
      <w:lvlText w:val="%1.%2.%3.%4.%5"/>
      <w:lvlJc w:val="left"/>
      <w:pPr>
        <w:tabs>
          <w:tab w:val="left" w:pos="3030"/>
        </w:tabs>
        <w:ind w:left="3030" w:hanging="450"/>
      </w:pPr>
      <w:rPr>
        <w:rFonts w:hint="eastAsia"/>
      </w:rPr>
    </w:lvl>
    <w:lvl w:ilvl="5" w:tentative="0">
      <w:start w:val="1"/>
      <w:numFmt w:val="decimal"/>
      <w:isLgl/>
      <w:lvlText w:val="%1.%2.%3.%4.%5.%6"/>
      <w:lvlJc w:val="left"/>
      <w:pPr>
        <w:tabs>
          <w:tab w:val="left" w:pos="3675"/>
        </w:tabs>
        <w:ind w:left="3675" w:hanging="450"/>
      </w:pPr>
      <w:rPr>
        <w:rFonts w:hint="eastAsia"/>
      </w:rPr>
    </w:lvl>
    <w:lvl w:ilvl="6" w:tentative="0">
      <w:start w:val="1"/>
      <w:numFmt w:val="decimal"/>
      <w:isLgl/>
      <w:lvlText w:val="%1.%2.%3.%4.%5.%6.%7"/>
      <w:lvlJc w:val="left"/>
      <w:pPr>
        <w:tabs>
          <w:tab w:val="left" w:pos="4320"/>
        </w:tabs>
        <w:ind w:left="4320" w:hanging="450"/>
      </w:pPr>
      <w:rPr>
        <w:rFonts w:hint="eastAsia"/>
      </w:rPr>
    </w:lvl>
    <w:lvl w:ilvl="7" w:tentative="0">
      <w:start w:val="1"/>
      <w:numFmt w:val="decimal"/>
      <w:isLgl/>
      <w:lvlText w:val="%1.%2.%3.%4.%5.%6.%7.%8"/>
      <w:lvlJc w:val="left"/>
      <w:pPr>
        <w:tabs>
          <w:tab w:val="left" w:pos="4965"/>
        </w:tabs>
        <w:ind w:left="4965" w:hanging="450"/>
      </w:pPr>
      <w:rPr>
        <w:rFonts w:hint="eastAsia"/>
      </w:rPr>
    </w:lvl>
    <w:lvl w:ilvl="8" w:tentative="0">
      <w:start w:val="1"/>
      <w:numFmt w:val="decimal"/>
      <w:isLgl/>
      <w:lvlText w:val="%1.%2.%3.%4.%5.%6.%7.%8.%9"/>
      <w:lvlJc w:val="left"/>
      <w:pPr>
        <w:tabs>
          <w:tab w:val="left" w:pos="5610"/>
        </w:tabs>
        <w:ind w:left="5610" w:hanging="450"/>
      </w:pPr>
      <w:rPr>
        <w:rFonts w:hint="eastAsia"/>
      </w:rPr>
    </w:lvl>
  </w:abstractNum>
  <w:abstractNum w:abstractNumId="9">
    <w:nsid w:val="568F7998"/>
    <w:multiLevelType w:val="singleLevel"/>
    <w:tmpl w:val="568F7998"/>
    <w:lvl w:ilvl="0" w:tentative="0">
      <w:start w:val="1"/>
      <w:numFmt w:val="decimal"/>
      <w:lvlText w:val="%1．"/>
      <w:lvlJc w:val="left"/>
      <w:pPr>
        <w:tabs>
          <w:tab w:val="left" w:pos="420"/>
        </w:tabs>
        <w:ind w:left="420" w:hanging="420"/>
      </w:pPr>
      <w:rPr>
        <w:rFonts w:hint="eastAsia"/>
      </w:rPr>
    </w:lvl>
  </w:abstractNum>
  <w:abstractNum w:abstractNumId="10">
    <w:nsid w:val="59F6D0D3"/>
    <w:multiLevelType w:val="singleLevel"/>
    <w:tmpl w:val="59F6D0D3"/>
    <w:lvl w:ilvl="0" w:tentative="0">
      <w:start w:val="1"/>
      <w:numFmt w:val="chineseCounting"/>
      <w:suff w:val="nothing"/>
      <w:lvlText w:val="%1、"/>
      <w:lvlJc w:val="left"/>
    </w:lvl>
  </w:abstractNum>
  <w:abstractNum w:abstractNumId="11">
    <w:nsid w:val="5F7DBD65"/>
    <w:multiLevelType w:val="singleLevel"/>
    <w:tmpl w:val="5F7DBD65"/>
    <w:lvl w:ilvl="0" w:tentative="0">
      <w:start w:val="1"/>
      <w:numFmt w:val="decimal"/>
      <w:lvlText w:val="%1."/>
      <w:lvlJc w:val="left"/>
      <w:pPr>
        <w:tabs>
          <w:tab w:val="left" w:pos="312"/>
        </w:tabs>
      </w:pPr>
    </w:lvl>
  </w:abstractNum>
  <w:abstractNum w:abstractNumId="12">
    <w:nsid w:val="6E5E583B"/>
    <w:multiLevelType w:val="singleLevel"/>
    <w:tmpl w:val="6E5E583B"/>
    <w:lvl w:ilvl="0" w:tentative="0">
      <w:start w:val="5"/>
      <w:numFmt w:val="decimal"/>
      <w:lvlText w:val="%1."/>
      <w:lvlJc w:val="left"/>
      <w:pPr>
        <w:tabs>
          <w:tab w:val="left" w:pos="312"/>
        </w:tabs>
      </w:pPr>
    </w:lvl>
  </w:abstractNum>
  <w:num w:numId="1">
    <w:abstractNumId w:val="6"/>
  </w:num>
  <w:num w:numId="2">
    <w:abstractNumId w:val="11"/>
  </w:num>
  <w:num w:numId="3">
    <w:abstractNumId w:val="12"/>
  </w:num>
  <w:num w:numId="4">
    <w:abstractNumId w:val="0"/>
  </w:num>
  <w:num w:numId="5">
    <w:abstractNumId w:val="3"/>
  </w:num>
  <w:num w:numId="6">
    <w:abstractNumId w:val="1"/>
  </w:num>
  <w:num w:numId="7">
    <w:abstractNumId w:val="2"/>
  </w:num>
  <w:num w:numId="8">
    <w:abstractNumId w:val="9"/>
  </w:num>
  <w:num w:numId="9">
    <w:abstractNumId w:val="7"/>
  </w:num>
  <w:num w:numId="10">
    <w:abstractNumId w:val="5"/>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4"/>
  <w:drawingGridHorizontalSpacing w:val="105"/>
  <w:drawingGridVerticalSpacing w:val="285"/>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1ZjVhYmIwNWU1MTZiOGI2ODMyMTgxYzZmNTAyOWIifQ=="/>
  </w:docVars>
  <w:rsids>
    <w:rsidRoot w:val="00172A27"/>
    <w:rsid w:val="00004D8E"/>
    <w:rsid w:val="00016D42"/>
    <w:rsid w:val="0003522F"/>
    <w:rsid w:val="000373BB"/>
    <w:rsid w:val="0003752E"/>
    <w:rsid w:val="000517D2"/>
    <w:rsid w:val="00057B40"/>
    <w:rsid w:val="000717E8"/>
    <w:rsid w:val="0008607F"/>
    <w:rsid w:val="000955D0"/>
    <w:rsid w:val="000A5318"/>
    <w:rsid w:val="000A5B54"/>
    <w:rsid w:val="000C6998"/>
    <w:rsid w:val="000D5676"/>
    <w:rsid w:val="000F32C4"/>
    <w:rsid w:val="000F4CE6"/>
    <w:rsid w:val="000F63F0"/>
    <w:rsid w:val="0010027C"/>
    <w:rsid w:val="00100A53"/>
    <w:rsid w:val="00117399"/>
    <w:rsid w:val="00121368"/>
    <w:rsid w:val="00121974"/>
    <w:rsid w:val="001263FE"/>
    <w:rsid w:val="001312FB"/>
    <w:rsid w:val="00131BEF"/>
    <w:rsid w:val="001349A8"/>
    <w:rsid w:val="00142581"/>
    <w:rsid w:val="00152509"/>
    <w:rsid w:val="00154CC6"/>
    <w:rsid w:val="0015757E"/>
    <w:rsid w:val="00157A3C"/>
    <w:rsid w:val="00160637"/>
    <w:rsid w:val="001625A1"/>
    <w:rsid w:val="00172A27"/>
    <w:rsid w:val="001778CA"/>
    <w:rsid w:val="001A1FF2"/>
    <w:rsid w:val="001B0160"/>
    <w:rsid w:val="001D10E9"/>
    <w:rsid w:val="001D131B"/>
    <w:rsid w:val="001E73D8"/>
    <w:rsid w:val="00204ED9"/>
    <w:rsid w:val="00205879"/>
    <w:rsid w:val="00216C26"/>
    <w:rsid w:val="002260AE"/>
    <w:rsid w:val="0022747D"/>
    <w:rsid w:val="002308E9"/>
    <w:rsid w:val="002314B9"/>
    <w:rsid w:val="00242C9D"/>
    <w:rsid w:val="002536BB"/>
    <w:rsid w:val="0025628F"/>
    <w:rsid w:val="00257CCE"/>
    <w:rsid w:val="00261ECC"/>
    <w:rsid w:val="00263232"/>
    <w:rsid w:val="0027737C"/>
    <w:rsid w:val="00280759"/>
    <w:rsid w:val="00287850"/>
    <w:rsid w:val="00294F38"/>
    <w:rsid w:val="002A350B"/>
    <w:rsid w:val="002A736F"/>
    <w:rsid w:val="002A7B56"/>
    <w:rsid w:val="002B1E90"/>
    <w:rsid w:val="002D0CDC"/>
    <w:rsid w:val="002D2410"/>
    <w:rsid w:val="002D7EB6"/>
    <w:rsid w:val="002E191C"/>
    <w:rsid w:val="002E2710"/>
    <w:rsid w:val="002F1C84"/>
    <w:rsid w:val="00312FF7"/>
    <w:rsid w:val="00323AD6"/>
    <w:rsid w:val="0033024C"/>
    <w:rsid w:val="00332E7D"/>
    <w:rsid w:val="003359BF"/>
    <w:rsid w:val="00335B9B"/>
    <w:rsid w:val="00356FA9"/>
    <w:rsid w:val="00362FEA"/>
    <w:rsid w:val="00364945"/>
    <w:rsid w:val="00367A27"/>
    <w:rsid w:val="00373610"/>
    <w:rsid w:val="003A5D22"/>
    <w:rsid w:val="003B1E77"/>
    <w:rsid w:val="003C1293"/>
    <w:rsid w:val="003C32A2"/>
    <w:rsid w:val="003E2B57"/>
    <w:rsid w:val="003E77A0"/>
    <w:rsid w:val="00401186"/>
    <w:rsid w:val="004014B5"/>
    <w:rsid w:val="00404A45"/>
    <w:rsid w:val="004220D9"/>
    <w:rsid w:val="00423D73"/>
    <w:rsid w:val="00432DC9"/>
    <w:rsid w:val="004443EC"/>
    <w:rsid w:val="00444DFA"/>
    <w:rsid w:val="00451A17"/>
    <w:rsid w:val="00456035"/>
    <w:rsid w:val="00456DE7"/>
    <w:rsid w:val="00475BB9"/>
    <w:rsid w:val="00480F00"/>
    <w:rsid w:val="00491DB7"/>
    <w:rsid w:val="00492598"/>
    <w:rsid w:val="0049505F"/>
    <w:rsid w:val="004959FB"/>
    <w:rsid w:val="004A205F"/>
    <w:rsid w:val="004B7DC7"/>
    <w:rsid w:val="004C02C5"/>
    <w:rsid w:val="004C765F"/>
    <w:rsid w:val="004D487C"/>
    <w:rsid w:val="004E4649"/>
    <w:rsid w:val="00511738"/>
    <w:rsid w:val="005127A0"/>
    <w:rsid w:val="00512C39"/>
    <w:rsid w:val="00516FC0"/>
    <w:rsid w:val="005217DB"/>
    <w:rsid w:val="005346CB"/>
    <w:rsid w:val="00544287"/>
    <w:rsid w:val="00553C93"/>
    <w:rsid w:val="00557DC3"/>
    <w:rsid w:val="00566568"/>
    <w:rsid w:val="00570E9D"/>
    <w:rsid w:val="00573961"/>
    <w:rsid w:val="005A3D8F"/>
    <w:rsid w:val="005B3979"/>
    <w:rsid w:val="005C2A6F"/>
    <w:rsid w:val="005C5435"/>
    <w:rsid w:val="005C5CD0"/>
    <w:rsid w:val="005D15F9"/>
    <w:rsid w:val="005E01C2"/>
    <w:rsid w:val="005E2379"/>
    <w:rsid w:val="005E242C"/>
    <w:rsid w:val="00603FE0"/>
    <w:rsid w:val="00624A65"/>
    <w:rsid w:val="006356ED"/>
    <w:rsid w:val="00641F64"/>
    <w:rsid w:val="006836FC"/>
    <w:rsid w:val="006A0A79"/>
    <w:rsid w:val="006A1503"/>
    <w:rsid w:val="006A3ACD"/>
    <w:rsid w:val="006B1D7E"/>
    <w:rsid w:val="006C04C3"/>
    <w:rsid w:val="006C38BF"/>
    <w:rsid w:val="006C687F"/>
    <w:rsid w:val="006D5430"/>
    <w:rsid w:val="006E320A"/>
    <w:rsid w:val="006E489C"/>
    <w:rsid w:val="0072011F"/>
    <w:rsid w:val="0073062A"/>
    <w:rsid w:val="00776734"/>
    <w:rsid w:val="00790930"/>
    <w:rsid w:val="007920F4"/>
    <w:rsid w:val="00795872"/>
    <w:rsid w:val="007A605B"/>
    <w:rsid w:val="007B6D8A"/>
    <w:rsid w:val="007B6EA8"/>
    <w:rsid w:val="007C5564"/>
    <w:rsid w:val="007F5B66"/>
    <w:rsid w:val="00810AED"/>
    <w:rsid w:val="00850915"/>
    <w:rsid w:val="00851B4F"/>
    <w:rsid w:val="00854A7B"/>
    <w:rsid w:val="00863696"/>
    <w:rsid w:val="00876AE6"/>
    <w:rsid w:val="008778BD"/>
    <w:rsid w:val="00880E6D"/>
    <w:rsid w:val="00887BFB"/>
    <w:rsid w:val="008A20BF"/>
    <w:rsid w:val="008C05E7"/>
    <w:rsid w:val="008C0789"/>
    <w:rsid w:val="008C5FE8"/>
    <w:rsid w:val="008D0631"/>
    <w:rsid w:val="008E0BB4"/>
    <w:rsid w:val="008E5DD3"/>
    <w:rsid w:val="008F3536"/>
    <w:rsid w:val="008F7C9D"/>
    <w:rsid w:val="00924A96"/>
    <w:rsid w:val="00937B3D"/>
    <w:rsid w:val="00942DD3"/>
    <w:rsid w:val="00943ED2"/>
    <w:rsid w:val="00971248"/>
    <w:rsid w:val="00973A2E"/>
    <w:rsid w:val="00981AF9"/>
    <w:rsid w:val="0099021D"/>
    <w:rsid w:val="009A1CDA"/>
    <w:rsid w:val="009A48EE"/>
    <w:rsid w:val="009A75FB"/>
    <w:rsid w:val="009B1DC7"/>
    <w:rsid w:val="009C07DE"/>
    <w:rsid w:val="009C51E5"/>
    <w:rsid w:val="009D6109"/>
    <w:rsid w:val="009E2E72"/>
    <w:rsid w:val="00A0122C"/>
    <w:rsid w:val="00A06A44"/>
    <w:rsid w:val="00A10C14"/>
    <w:rsid w:val="00A16D21"/>
    <w:rsid w:val="00A36A11"/>
    <w:rsid w:val="00A5793C"/>
    <w:rsid w:val="00A63F0C"/>
    <w:rsid w:val="00A64287"/>
    <w:rsid w:val="00A70017"/>
    <w:rsid w:val="00A81F34"/>
    <w:rsid w:val="00A86B3F"/>
    <w:rsid w:val="00AA4AEF"/>
    <w:rsid w:val="00AA66CC"/>
    <w:rsid w:val="00AB0EDD"/>
    <w:rsid w:val="00AB60EB"/>
    <w:rsid w:val="00AC31BA"/>
    <w:rsid w:val="00AD6A5E"/>
    <w:rsid w:val="00B00FAF"/>
    <w:rsid w:val="00B01A86"/>
    <w:rsid w:val="00B125E4"/>
    <w:rsid w:val="00B37A0D"/>
    <w:rsid w:val="00B45E34"/>
    <w:rsid w:val="00B5243D"/>
    <w:rsid w:val="00B704D1"/>
    <w:rsid w:val="00BA07F0"/>
    <w:rsid w:val="00BB4ED0"/>
    <w:rsid w:val="00BB6B4E"/>
    <w:rsid w:val="00BC1ADA"/>
    <w:rsid w:val="00BC3812"/>
    <w:rsid w:val="00BC7EB1"/>
    <w:rsid w:val="00BE26B5"/>
    <w:rsid w:val="00BE334F"/>
    <w:rsid w:val="00BF6883"/>
    <w:rsid w:val="00C03433"/>
    <w:rsid w:val="00C3019D"/>
    <w:rsid w:val="00C45541"/>
    <w:rsid w:val="00C53DC8"/>
    <w:rsid w:val="00C82C48"/>
    <w:rsid w:val="00C947C6"/>
    <w:rsid w:val="00CA04DF"/>
    <w:rsid w:val="00CA5711"/>
    <w:rsid w:val="00CB307B"/>
    <w:rsid w:val="00CC0C3A"/>
    <w:rsid w:val="00D3671D"/>
    <w:rsid w:val="00D62433"/>
    <w:rsid w:val="00D6344C"/>
    <w:rsid w:val="00D661F2"/>
    <w:rsid w:val="00D7387D"/>
    <w:rsid w:val="00D753B7"/>
    <w:rsid w:val="00D869CD"/>
    <w:rsid w:val="00DA3005"/>
    <w:rsid w:val="00DB073E"/>
    <w:rsid w:val="00DC6F05"/>
    <w:rsid w:val="00DD4F92"/>
    <w:rsid w:val="00DF2E53"/>
    <w:rsid w:val="00E203A1"/>
    <w:rsid w:val="00E24063"/>
    <w:rsid w:val="00E26253"/>
    <w:rsid w:val="00E27388"/>
    <w:rsid w:val="00E31D7C"/>
    <w:rsid w:val="00E3360C"/>
    <w:rsid w:val="00E415F0"/>
    <w:rsid w:val="00E41FE1"/>
    <w:rsid w:val="00E478A2"/>
    <w:rsid w:val="00E62D0B"/>
    <w:rsid w:val="00E76521"/>
    <w:rsid w:val="00E82886"/>
    <w:rsid w:val="00E97B3C"/>
    <w:rsid w:val="00EA09D5"/>
    <w:rsid w:val="00EB3D8F"/>
    <w:rsid w:val="00EB42D3"/>
    <w:rsid w:val="00EC24E8"/>
    <w:rsid w:val="00EC352F"/>
    <w:rsid w:val="00EC7660"/>
    <w:rsid w:val="00ED0601"/>
    <w:rsid w:val="00EE681E"/>
    <w:rsid w:val="00EE776C"/>
    <w:rsid w:val="00EF0A81"/>
    <w:rsid w:val="00F04576"/>
    <w:rsid w:val="00F12347"/>
    <w:rsid w:val="00F236CB"/>
    <w:rsid w:val="00F371B8"/>
    <w:rsid w:val="00F37AC9"/>
    <w:rsid w:val="00F40C32"/>
    <w:rsid w:val="00F40E75"/>
    <w:rsid w:val="00F45B83"/>
    <w:rsid w:val="00F47E95"/>
    <w:rsid w:val="00F603C4"/>
    <w:rsid w:val="00F70275"/>
    <w:rsid w:val="00F7596F"/>
    <w:rsid w:val="00F80127"/>
    <w:rsid w:val="00F83B64"/>
    <w:rsid w:val="00F851EB"/>
    <w:rsid w:val="00F86F7A"/>
    <w:rsid w:val="00F9718E"/>
    <w:rsid w:val="00FA1F16"/>
    <w:rsid w:val="00FB22AB"/>
    <w:rsid w:val="00FE5493"/>
    <w:rsid w:val="08781FA9"/>
    <w:rsid w:val="08C157E8"/>
    <w:rsid w:val="0A2D5046"/>
    <w:rsid w:val="0AE6768A"/>
    <w:rsid w:val="0BEB340A"/>
    <w:rsid w:val="0CAD0AD3"/>
    <w:rsid w:val="0DC072B1"/>
    <w:rsid w:val="0DEA3506"/>
    <w:rsid w:val="10613FCD"/>
    <w:rsid w:val="117E0760"/>
    <w:rsid w:val="121200E6"/>
    <w:rsid w:val="136530FF"/>
    <w:rsid w:val="136A730B"/>
    <w:rsid w:val="147246C9"/>
    <w:rsid w:val="14C431D2"/>
    <w:rsid w:val="173016C8"/>
    <w:rsid w:val="1998129F"/>
    <w:rsid w:val="1C265991"/>
    <w:rsid w:val="1D6C392C"/>
    <w:rsid w:val="1D990A1B"/>
    <w:rsid w:val="1DBE34D3"/>
    <w:rsid w:val="1F090697"/>
    <w:rsid w:val="1F374341"/>
    <w:rsid w:val="20196340"/>
    <w:rsid w:val="20FB5A46"/>
    <w:rsid w:val="220D75B2"/>
    <w:rsid w:val="23024E6A"/>
    <w:rsid w:val="24D37BDA"/>
    <w:rsid w:val="262C754B"/>
    <w:rsid w:val="273E668C"/>
    <w:rsid w:val="27B536B0"/>
    <w:rsid w:val="2885728B"/>
    <w:rsid w:val="2887341B"/>
    <w:rsid w:val="28B25D84"/>
    <w:rsid w:val="28F32938"/>
    <w:rsid w:val="2A3D6A8D"/>
    <w:rsid w:val="2BF37A45"/>
    <w:rsid w:val="2F9E44AB"/>
    <w:rsid w:val="32CE6B16"/>
    <w:rsid w:val="35E6569D"/>
    <w:rsid w:val="39880717"/>
    <w:rsid w:val="3AF74E51"/>
    <w:rsid w:val="3B1A12EE"/>
    <w:rsid w:val="3D5F430F"/>
    <w:rsid w:val="3F7C7EC2"/>
    <w:rsid w:val="45AA20AF"/>
    <w:rsid w:val="46AE164B"/>
    <w:rsid w:val="472B3EBC"/>
    <w:rsid w:val="4E263020"/>
    <w:rsid w:val="4F243E16"/>
    <w:rsid w:val="53EB3716"/>
    <w:rsid w:val="54410308"/>
    <w:rsid w:val="54474D62"/>
    <w:rsid w:val="56282E9D"/>
    <w:rsid w:val="58E33856"/>
    <w:rsid w:val="59D94FB8"/>
    <w:rsid w:val="5B931BB5"/>
    <w:rsid w:val="6080347D"/>
    <w:rsid w:val="65015485"/>
    <w:rsid w:val="66FD1BB8"/>
    <w:rsid w:val="6A5C24B1"/>
    <w:rsid w:val="6AC43D66"/>
    <w:rsid w:val="6BB36AC4"/>
    <w:rsid w:val="6E8201DA"/>
    <w:rsid w:val="70967F6C"/>
    <w:rsid w:val="70CD0083"/>
    <w:rsid w:val="746A136B"/>
    <w:rsid w:val="757823AC"/>
    <w:rsid w:val="75E67C61"/>
    <w:rsid w:val="76C23698"/>
    <w:rsid w:val="7C5F20CD"/>
    <w:rsid w:val="7CBC4CE5"/>
    <w:rsid w:val="7D3314AE"/>
    <w:rsid w:val="7E6409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sdException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99" w:semiHidden="0"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3">
    <w:name w:val="heading 1"/>
    <w:basedOn w:val="1"/>
    <w:next w:val="1"/>
    <w:link w:val="28"/>
    <w:qFormat/>
    <w:uiPriority w:val="0"/>
    <w:pPr>
      <w:keepNext/>
      <w:spacing w:before="120" w:after="120" w:line="360" w:lineRule="auto"/>
      <w:outlineLvl w:val="0"/>
    </w:pPr>
    <w:rPr>
      <w:rFonts w:ascii="宋体"/>
      <w:sz w:val="28"/>
    </w:rPr>
  </w:style>
  <w:style w:type="paragraph" w:styleId="4">
    <w:name w:val="heading 2"/>
    <w:basedOn w:val="1"/>
    <w:next w:val="1"/>
    <w:qFormat/>
    <w:uiPriority w:val="0"/>
    <w:pPr>
      <w:keepNext/>
      <w:spacing w:line="320" w:lineRule="atLeast"/>
      <w:jc w:val="center"/>
      <w:outlineLvl w:val="1"/>
    </w:pPr>
    <w:rPr>
      <w:b/>
    </w:rPr>
  </w:style>
  <w:style w:type="paragraph" w:styleId="5">
    <w:name w:val="heading 3"/>
    <w:basedOn w:val="1"/>
    <w:next w:val="1"/>
    <w:link w:val="29"/>
    <w:qFormat/>
    <w:uiPriority w:val="9"/>
    <w:pPr>
      <w:keepNext/>
      <w:keepLines/>
      <w:spacing w:before="260" w:after="260" w:line="416" w:lineRule="atLeast"/>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spacing w:before="100" w:beforeAutospacing="1" w:after="100" w:afterAutospacing="1"/>
      <w:jc w:val="left"/>
    </w:pPr>
    <w:rPr>
      <w:rFonts w:ascii="宋体"/>
      <w:szCs w:val="24"/>
    </w:rPr>
  </w:style>
  <w:style w:type="paragraph" w:styleId="6">
    <w:name w:val="Normal Indent"/>
    <w:basedOn w:val="1"/>
    <w:qFormat/>
    <w:uiPriority w:val="0"/>
    <w:pPr>
      <w:ind w:firstLine="420"/>
    </w:pPr>
  </w:style>
  <w:style w:type="paragraph" w:styleId="7">
    <w:name w:val="Document Map"/>
    <w:basedOn w:val="1"/>
    <w:qFormat/>
    <w:uiPriority w:val="0"/>
    <w:pPr>
      <w:shd w:val="clear" w:color="auto" w:fill="000080"/>
    </w:pPr>
  </w:style>
  <w:style w:type="paragraph" w:styleId="8">
    <w:name w:val="annotation text"/>
    <w:basedOn w:val="1"/>
    <w:link w:val="30"/>
    <w:uiPriority w:val="0"/>
    <w:pPr>
      <w:jc w:val="left"/>
    </w:pPr>
  </w:style>
  <w:style w:type="paragraph" w:styleId="9">
    <w:name w:val="Body Text"/>
    <w:basedOn w:val="1"/>
    <w:qFormat/>
    <w:uiPriority w:val="0"/>
    <w:pPr>
      <w:spacing w:line="360" w:lineRule="atLeast"/>
      <w:jc w:val="right"/>
    </w:pPr>
  </w:style>
  <w:style w:type="paragraph" w:styleId="10">
    <w:name w:val="Body Text Indent"/>
    <w:basedOn w:val="1"/>
    <w:link w:val="48"/>
    <w:qFormat/>
    <w:uiPriority w:val="0"/>
    <w:pPr>
      <w:spacing w:line="360" w:lineRule="atLeast"/>
      <w:ind w:left="720" w:hanging="720"/>
    </w:pPr>
    <w:rPr>
      <w:rFonts w:ascii="宋体"/>
      <w:sz w:val="28"/>
    </w:rPr>
  </w:style>
  <w:style w:type="paragraph" w:styleId="11">
    <w:name w:val="Date"/>
    <w:basedOn w:val="1"/>
    <w:next w:val="1"/>
    <w:link w:val="31"/>
    <w:qFormat/>
    <w:uiPriority w:val="0"/>
    <w:pPr>
      <w:adjustRightInd/>
      <w:spacing w:line="240" w:lineRule="auto"/>
      <w:textAlignment w:val="auto"/>
    </w:pPr>
    <w:rPr>
      <w:kern w:val="2"/>
      <w:sz w:val="24"/>
    </w:rPr>
  </w:style>
  <w:style w:type="paragraph" w:styleId="12">
    <w:name w:val="Body Text Indent 2"/>
    <w:basedOn w:val="1"/>
    <w:link w:val="32"/>
    <w:qFormat/>
    <w:uiPriority w:val="0"/>
    <w:pPr>
      <w:spacing w:after="120" w:line="480" w:lineRule="auto"/>
      <w:ind w:left="420" w:leftChars="200"/>
    </w:pPr>
  </w:style>
  <w:style w:type="paragraph" w:styleId="13">
    <w:name w:val="Balloon Text"/>
    <w:basedOn w:val="1"/>
    <w:qFormat/>
    <w:uiPriority w:val="0"/>
    <w:rPr>
      <w:sz w:val="18"/>
      <w:szCs w:val="18"/>
    </w:rPr>
  </w:style>
  <w:style w:type="paragraph" w:styleId="14">
    <w:name w:val="footer"/>
    <w:basedOn w:val="1"/>
    <w:link w:val="33"/>
    <w:qFormat/>
    <w:uiPriority w:val="99"/>
    <w:pPr>
      <w:tabs>
        <w:tab w:val="center" w:pos="4153"/>
        <w:tab w:val="right" w:pos="8306"/>
      </w:tabs>
      <w:spacing w:line="240" w:lineRule="atLeast"/>
      <w:jc w:val="left"/>
    </w:pPr>
    <w:rPr>
      <w:sz w:val="18"/>
    </w:rPr>
  </w:style>
  <w:style w:type="paragraph" w:styleId="15">
    <w:name w:val="header"/>
    <w:basedOn w:val="1"/>
    <w:uiPriority w:val="0"/>
    <w:pPr>
      <w:pBdr>
        <w:bottom w:val="single" w:color="auto" w:sz="6" w:space="1"/>
      </w:pBdr>
      <w:tabs>
        <w:tab w:val="center" w:pos="4153"/>
        <w:tab w:val="right" w:pos="8306"/>
      </w:tabs>
      <w:spacing w:line="240" w:lineRule="atLeast"/>
      <w:jc w:val="center"/>
    </w:pPr>
    <w:rPr>
      <w:sz w:val="18"/>
    </w:rPr>
  </w:style>
  <w:style w:type="paragraph" w:styleId="16">
    <w:name w:val="Body Text Indent 3"/>
    <w:basedOn w:val="1"/>
    <w:qFormat/>
    <w:uiPriority w:val="99"/>
    <w:pPr>
      <w:autoSpaceDE w:val="0"/>
      <w:autoSpaceDN w:val="0"/>
      <w:spacing w:before="120" w:line="22" w:lineRule="atLeast"/>
      <w:ind w:left="720" w:firstLine="480"/>
      <w:jc w:val="left"/>
    </w:pPr>
    <w:rPr>
      <w:rFonts w:ascii="宋体"/>
      <w:sz w:val="24"/>
    </w:rPr>
  </w:style>
  <w:style w:type="paragraph" w:styleId="17">
    <w:name w:val="Body Text 2"/>
    <w:basedOn w:val="1"/>
    <w:qFormat/>
    <w:uiPriority w:val="0"/>
    <w:pPr>
      <w:spacing w:line="360" w:lineRule="atLeast"/>
      <w:jc w:val="center"/>
    </w:pPr>
  </w:style>
  <w:style w:type="paragraph" w:styleId="18">
    <w:name w:val="Normal (Web)"/>
    <w:basedOn w:val="1"/>
    <w:qFormat/>
    <w:uiPriority w:val="0"/>
    <w:pPr>
      <w:spacing w:beforeAutospacing="1" w:afterAutospacing="1"/>
      <w:jc w:val="left"/>
    </w:pPr>
    <w:rPr>
      <w:sz w:val="24"/>
      <w:szCs w:val="24"/>
    </w:rPr>
  </w:style>
  <w:style w:type="paragraph" w:styleId="19">
    <w:name w:val="index 1"/>
    <w:basedOn w:val="1"/>
    <w:next w:val="1"/>
    <w:qFormat/>
    <w:uiPriority w:val="0"/>
    <w:rPr>
      <w:rFonts w:ascii="Calibri" w:hAnsi="Calibri"/>
    </w:rPr>
  </w:style>
  <w:style w:type="paragraph" w:styleId="20">
    <w:name w:val="annotation subject"/>
    <w:basedOn w:val="8"/>
    <w:next w:val="8"/>
    <w:link w:val="36"/>
    <w:qFormat/>
    <w:uiPriority w:val="0"/>
    <w:rPr>
      <w:b/>
      <w:bCs/>
    </w:rPr>
  </w:style>
  <w:style w:type="table" w:styleId="22">
    <w:name w:val="Table Grid"/>
    <w:basedOn w:val="21"/>
    <w:qFormat/>
    <w:uiPriority w:val="59"/>
    <w:rPr>
      <w:rFonts w:ascii="Calibri" w:hAnsi="Calibri"/>
      <w:kern w:val="2"/>
      <w:sz w:val="21"/>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qFormat/>
    <w:uiPriority w:val="0"/>
  </w:style>
  <w:style w:type="character" w:styleId="26">
    <w:name w:val="Hyperlink"/>
    <w:qFormat/>
    <w:uiPriority w:val="0"/>
    <w:rPr>
      <w:color w:val="0000FF"/>
      <w:u w:val="single"/>
    </w:rPr>
  </w:style>
  <w:style w:type="character" w:styleId="27">
    <w:name w:val="annotation reference"/>
    <w:qFormat/>
    <w:uiPriority w:val="0"/>
    <w:rPr>
      <w:sz w:val="21"/>
      <w:szCs w:val="21"/>
    </w:rPr>
  </w:style>
  <w:style w:type="character" w:customStyle="1" w:styleId="28">
    <w:name w:val="标题 1 Char"/>
    <w:link w:val="3"/>
    <w:qFormat/>
    <w:uiPriority w:val="0"/>
    <w:rPr>
      <w:rFonts w:ascii="宋体"/>
      <w:sz w:val="28"/>
    </w:rPr>
  </w:style>
  <w:style w:type="character" w:customStyle="1" w:styleId="29">
    <w:name w:val="标题 3 Char"/>
    <w:link w:val="5"/>
    <w:semiHidden/>
    <w:qFormat/>
    <w:uiPriority w:val="9"/>
    <w:rPr>
      <w:b/>
      <w:bCs/>
      <w:sz w:val="32"/>
      <w:szCs w:val="32"/>
    </w:rPr>
  </w:style>
  <w:style w:type="character" w:customStyle="1" w:styleId="30">
    <w:name w:val="批注文字 Char"/>
    <w:link w:val="8"/>
    <w:qFormat/>
    <w:uiPriority w:val="0"/>
    <w:rPr>
      <w:sz w:val="21"/>
    </w:rPr>
  </w:style>
  <w:style w:type="character" w:customStyle="1" w:styleId="31">
    <w:name w:val="日期 Char"/>
    <w:link w:val="11"/>
    <w:qFormat/>
    <w:uiPriority w:val="0"/>
    <w:rPr>
      <w:kern w:val="2"/>
      <w:sz w:val="24"/>
    </w:rPr>
  </w:style>
  <w:style w:type="character" w:customStyle="1" w:styleId="32">
    <w:name w:val="正文文本缩进 2 Char"/>
    <w:link w:val="12"/>
    <w:qFormat/>
    <w:uiPriority w:val="0"/>
    <w:rPr>
      <w:sz w:val="21"/>
    </w:rPr>
  </w:style>
  <w:style w:type="character" w:customStyle="1" w:styleId="33">
    <w:name w:val="页脚 Char"/>
    <w:link w:val="14"/>
    <w:qFormat/>
    <w:uiPriority w:val="99"/>
    <w:rPr>
      <w:sz w:val="18"/>
    </w:rPr>
  </w:style>
  <w:style w:type="paragraph" w:customStyle="1" w:styleId="34">
    <w:name w:val="TOC 1"/>
    <w:basedOn w:val="1"/>
    <w:next w:val="1"/>
    <w:qFormat/>
    <w:uiPriority w:val="0"/>
  </w:style>
  <w:style w:type="paragraph" w:customStyle="1" w:styleId="35">
    <w:name w:val="TOC 2"/>
    <w:basedOn w:val="1"/>
    <w:next w:val="1"/>
    <w:qFormat/>
    <w:uiPriority w:val="0"/>
    <w:pPr>
      <w:ind w:left="420" w:leftChars="200"/>
    </w:pPr>
  </w:style>
  <w:style w:type="character" w:customStyle="1" w:styleId="36">
    <w:name w:val="批注主题 Char"/>
    <w:link w:val="20"/>
    <w:qFormat/>
    <w:uiPriority w:val="0"/>
    <w:rPr>
      <w:b/>
      <w:bCs/>
      <w:sz w:val="21"/>
    </w:rPr>
  </w:style>
  <w:style w:type="paragraph" w:customStyle="1" w:styleId="37">
    <w:name w:val="正文文本首行缩进 2"/>
    <w:basedOn w:val="10"/>
    <w:qFormat/>
    <w:uiPriority w:val="0"/>
    <w:pPr>
      <w:spacing w:after="120"/>
      <w:ind w:left="420" w:leftChars="200" w:firstLine="420" w:firstLineChars="200"/>
    </w:pPr>
    <w:rPr>
      <w:rFonts w:ascii="Times New Roman"/>
      <w:sz w:val="20"/>
      <w:szCs w:val="24"/>
    </w:rPr>
  </w:style>
  <w:style w:type="paragraph" w:customStyle="1" w:styleId="38">
    <w:name w:val="段"/>
    <w:next w:val="1"/>
    <w:unhideWhenUsed/>
    <w:qFormat/>
    <w:uiPriority w:val="0"/>
    <w:pPr>
      <w:autoSpaceDE w:val="0"/>
      <w:autoSpaceDN w:val="0"/>
      <w:ind w:firstLine="200" w:firstLineChars="200"/>
      <w:jc w:val="both"/>
    </w:pPr>
    <w:rPr>
      <w:rFonts w:hint="eastAsia" w:ascii="宋体" w:hAnsi="Times New Roman" w:eastAsia="宋体" w:cs="Times New Roman"/>
      <w:sz w:val="21"/>
      <w:szCs w:val="22"/>
      <w:lang w:val="en-US" w:eastAsia="zh-CN" w:bidi="ar-SA"/>
    </w:rPr>
  </w:style>
  <w:style w:type="paragraph" w:customStyle="1" w:styleId="39">
    <w:name w:val="Char Char Char Char Char Char Char"/>
    <w:basedOn w:val="1"/>
    <w:qFormat/>
    <w:uiPriority w:val="0"/>
    <w:pPr>
      <w:widowControl/>
      <w:adjustRightInd/>
      <w:spacing w:after="160" w:line="240" w:lineRule="exact"/>
      <w:jc w:val="left"/>
      <w:textAlignment w:val="auto"/>
    </w:pPr>
    <w:rPr>
      <w:rFonts w:ascii="Verdana" w:hAnsi="Verdana" w:eastAsia="仿宋_GB2312"/>
      <w:sz w:val="24"/>
      <w:lang w:eastAsia="en-US"/>
    </w:rPr>
  </w:style>
  <w:style w:type="paragraph" w:customStyle="1" w:styleId="40">
    <w:name w:val="Char Char Char"/>
    <w:basedOn w:val="1"/>
    <w:qFormat/>
    <w:uiPriority w:val="0"/>
    <w:pPr>
      <w:tabs>
        <w:tab w:val="right" w:pos="-2120"/>
      </w:tabs>
      <w:adjustRightInd/>
      <w:snapToGrid w:val="0"/>
      <w:spacing w:line="240" w:lineRule="auto"/>
      <w:textAlignment w:val="auto"/>
    </w:pPr>
    <w:rPr>
      <w:rFonts w:ascii="Tahoma" w:hAnsi="Tahoma"/>
      <w:spacing w:val="6"/>
      <w:kern w:val="2"/>
      <w:sz w:val="24"/>
    </w:rPr>
  </w:style>
  <w:style w:type="paragraph" w:customStyle="1" w:styleId="41">
    <w:name w:val="正文2"/>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2">
    <w:name w:val="正文-首缩2字符"/>
    <w:basedOn w:val="1"/>
    <w:qFormat/>
    <w:uiPriority w:val="99"/>
    <w:pPr>
      <w:snapToGrid w:val="0"/>
      <w:spacing w:line="300" w:lineRule="auto"/>
      <w:ind w:firstLine="200" w:firstLineChars="200"/>
      <w:jc w:val="left"/>
      <w:textAlignment w:val="auto"/>
    </w:pPr>
    <w:rPr>
      <w:rFonts w:ascii="宋体" w:hAnsi="宋体" w:cs="宋体"/>
      <w:kern w:val="2"/>
      <w:sz w:val="24"/>
      <w:szCs w:val="24"/>
    </w:rPr>
  </w:style>
  <w:style w:type="character" w:customStyle="1" w:styleId="43">
    <w:name w:val="font41"/>
    <w:qFormat/>
    <w:uiPriority w:val="0"/>
    <w:rPr>
      <w:rFonts w:hint="eastAsia" w:ascii="仿宋" w:hAnsi="仿宋" w:eastAsia="仿宋" w:cs="仿宋"/>
      <w:color w:val="FF0000"/>
      <w:sz w:val="24"/>
      <w:szCs w:val="24"/>
      <w:u w:val="none"/>
    </w:rPr>
  </w:style>
  <w:style w:type="character" w:customStyle="1" w:styleId="44">
    <w:name w:val="font31"/>
    <w:qFormat/>
    <w:uiPriority w:val="0"/>
    <w:rPr>
      <w:rFonts w:hint="eastAsia" w:ascii="仿宋" w:hAnsi="仿宋" w:eastAsia="仿宋" w:cs="仿宋"/>
      <w:color w:val="000000"/>
      <w:sz w:val="24"/>
      <w:szCs w:val="24"/>
      <w:u w:val="none"/>
    </w:rPr>
  </w:style>
  <w:style w:type="paragraph" w:customStyle="1" w:styleId="45">
    <w:name w:val="正文 A"/>
    <w:qFormat/>
    <w:uiPriority w:val="99"/>
    <w:rPr>
      <w:rFonts w:ascii="Arial Unicode MS" w:hAnsi="Arial Unicode MS" w:eastAsia="Times New Roman" w:cs="宋体"/>
      <w:color w:val="000000"/>
      <w:sz w:val="24"/>
      <w:szCs w:val="24"/>
      <w:lang w:val="en-US" w:eastAsia="zh-CN" w:bidi="ar-SA"/>
    </w:rPr>
  </w:style>
  <w:style w:type="paragraph" w:customStyle="1" w:styleId="46">
    <w:name w:val="列表段落"/>
    <w:basedOn w:val="1"/>
    <w:qFormat/>
    <w:uiPriority w:val="34"/>
    <w:pPr>
      <w:ind w:firstLine="420" w:firstLineChars="200"/>
    </w:pPr>
    <w:rPr>
      <w:szCs w:val="21"/>
    </w:rPr>
  </w:style>
  <w:style w:type="paragraph" w:customStyle="1" w:styleId="47">
    <w:name w:val="修订1"/>
    <w:hidden/>
    <w:unhideWhenUsed/>
    <w:qFormat/>
    <w:uiPriority w:val="99"/>
    <w:rPr>
      <w:rFonts w:ascii="Times New Roman" w:hAnsi="Times New Roman" w:eastAsia="宋体" w:cs="Times New Roman"/>
      <w:sz w:val="21"/>
      <w:lang w:val="en-US" w:eastAsia="zh-CN" w:bidi="ar-SA"/>
    </w:rPr>
  </w:style>
  <w:style w:type="character" w:customStyle="1" w:styleId="48">
    <w:name w:val="正文文本缩进 Char"/>
    <w:basedOn w:val="23"/>
    <w:link w:val="10"/>
    <w:qFormat/>
    <w:uiPriority w:val="0"/>
    <w:rPr>
      <w:rFonts w:ascii="宋体"/>
      <w:sz w:val="28"/>
    </w:rPr>
  </w:style>
  <w:style w:type="paragraph" w:styleId="49">
    <w:name w:val="List Paragraph"/>
    <w:basedOn w:val="1"/>
    <w:unhideWhenUsed/>
    <w:qFormat/>
    <w:uiPriority w:val="99"/>
    <w:pPr>
      <w:ind w:firstLine="420" w:firstLineChars="200"/>
    </w:pPr>
  </w:style>
  <w:style w:type="character" w:customStyle="1" w:styleId="50">
    <w:name w:val="font21"/>
    <w:basedOn w:val="23"/>
    <w:qFormat/>
    <w:uiPriority w:val="0"/>
    <w:rPr>
      <w:rFonts w:hint="eastAsia"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cntcyichu</Company>
  <Pages>48</Pages>
  <Words>20042</Words>
  <Characters>22461</Characters>
  <Lines>176</Lines>
  <Paragraphs>49</Paragraphs>
  <TotalTime>21</TotalTime>
  <ScaleCrop>false</ScaleCrop>
  <LinksUpToDate>false</LinksUpToDate>
  <CharactersWithSpaces>23273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2023-06-15T06:29:00Z</dcterms:created>
  <dc:creator>LSK</dc:creator>
  <cp:keywords>Birthday</cp:keywords>
  <cp:lastModifiedBy>Acer</cp:lastModifiedBy>
  <cp:lastPrinted>2014-11-14T09:02:00Z</cp:lastPrinted>
  <dcterms:modified xsi:type="dcterms:W3CDTF">2023-06-19T01:30:46Z</dcterms:modified>
  <dc:subject>Birthday</dc:subject>
  <dc:title>Are You suprised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FC343E5B2CB04BCD9504A836F9A5CE05_13</vt:lpwstr>
  </property>
</Properties>
</file>